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CCE0A">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default" w:ascii="方正黑体_GBK" w:hAnsi="方正黑体_GBK" w:eastAsia="方正黑体_GBK" w:cs="方正黑体_GBK"/>
          <w:b w:val="0"/>
          <w:bCs/>
          <w:color w:val="000000" w:themeColor="text1"/>
          <w:kern w:val="0"/>
          <w:sz w:val="32"/>
          <w:szCs w:val="32"/>
          <w:lang w:val="en-US" w:eastAsia="zh-CN"/>
          <w14:textFill>
            <w14:solidFill>
              <w14:schemeClr w14:val="tx1"/>
            </w14:solidFill>
          </w14:textFill>
        </w:rPr>
      </w:pPr>
    </w:p>
    <w:p w14:paraId="2C8697C1">
      <w:pPr>
        <w:keepNext w:val="0"/>
        <w:keepLines w:val="0"/>
        <w:pageBreakBefore w:val="0"/>
        <w:widowControl/>
        <w:kinsoku/>
        <w:wordWrap/>
        <w:overflowPunct/>
        <w:topLinePunct w:val="0"/>
        <w:autoSpaceDE/>
        <w:autoSpaceDN/>
        <w:bidi w:val="0"/>
        <w:adjustRightInd/>
        <w:snapToGrid/>
        <w:spacing w:line="800" w:lineRule="exact"/>
        <w:jc w:val="center"/>
        <w:textAlignment w:val="center"/>
        <w:rPr>
          <w:rFonts w:hint="eastAsia" w:ascii="宋体" w:hAnsi="宋体" w:eastAsia="宋体" w:cs="宋体"/>
          <w:b/>
          <w:bCs w:val="0"/>
          <w:color w:val="000000" w:themeColor="text1"/>
          <w:kern w:val="0"/>
          <w:sz w:val="44"/>
          <w:szCs w:val="44"/>
          <w:lang w:eastAsia="zh-CN"/>
          <w14:textFill>
            <w14:solidFill>
              <w14:schemeClr w14:val="tx1"/>
            </w14:solidFill>
          </w14:textFill>
        </w:rPr>
      </w:pPr>
      <w:r>
        <w:rPr>
          <w:rFonts w:hint="eastAsia" w:ascii="宋体" w:hAnsi="宋体" w:eastAsia="宋体" w:cs="宋体"/>
          <w:b/>
          <w:bCs w:val="0"/>
          <w:color w:val="000000" w:themeColor="text1"/>
          <w:kern w:val="0"/>
          <w:sz w:val="44"/>
          <w:szCs w:val="44"/>
          <w:lang w:eastAsia="zh-CN"/>
          <w14:textFill>
            <w14:solidFill>
              <w14:schemeClr w14:val="tx1"/>
            </w14:solidFill>
          </w14:textFill>
        </w:rPr>
        <w:t>湖南省生态环境涉企行政检查事项清单</w:t>
      </w:r>
      <w:r>
        <w:rPr>
          <w:rFonts w:hint="eastAsia" w:ascii="宋体" w:hAnsi="宋体" w:cs="宋体"/>
          <w:b/>
          <w:bCs w:val="0"/>
          <w:color w:val="000000" w:themeColor="text1"/>
          <w:kern w:val="0"/>
          <w:sz w:val="44"/>
          <w:szCs w:val="44"/>
          <w:lang w:eastAsia="zh-CN"/>
          <w14:textFill>
            <w14:solidFill>
              <w14:schemeClr w14:val="tx1"/>
            </w14:solidFill>
          </w14:textFill>
        </w:rPr>
        <w:t>（</w:t>
      </w:r>
      <w:r>
        <w:rPr>
          <w:rFonts w:hint="eastAsia" w:ascii="宋体" w:hAnsi="宋体" w:cs="宋体"/>
          <w:b/>
          <w:bCs w:val="0"/>
          <w:color w:val="000000" w:themeColor="text1"/>
          <w:kern w:val="0"/>
          <w:sz w:val="44"/>
          <w:szCs w:val="44"/>
          <w:lang w:val="en-US" w:eastAsia="zh-CN"/>
          <w14:textFill>
            <w14:solidFill>
              <w14:schemeClr w14:val="tx1"/>
            </w14:solidFill>
          </w14:textFill>
        </w:rPr>
        <w:t>2025版</w:t>
      </w:r>
      <w:r>
        <w:rPr>
          <w:rFonts w:hint="eastAsia" w:ascii="宋体" w:hAnsi="宋体" w:cs="宋体"/>
          <w:b/>
          <w:bCs w:val="0"/>
          <w:color w:val="000000" w:themeColor="text1"/>
          <w:kern w:val="0"/>
          <w:sz w:val="44"/>
          <w:szCs w:val="44"/>
          <w:lang w:eastAsia="zh-CN"/>
          <w14:textFill>
            <w14:solidFill>
              <w14:schemeClr w14:val="tx1"/>
            </w14:solidFill>
          </w14:textFill>
        </w:rPr>
        <w:t>）</w:t>
      </w:r>
    </w:p>
    <w:tbl>
      <w:tblPr>
        <w:tblStyle w:val="8"/>
        <w:tblW w:w="15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723"/>
        <w:gridCol w:w="4009"/>
        <w:gridCol w:w="1573"/>
        <w:gridCol w:w="1599"/>
        <w:gridCol w:w="1246"/>
        <w:gridCol w:w="1370"/>
        <w:gridCol w:w="898"/>
        <w:gridCol w:w="1386"/>
        <w:gridCol w:w="1406"/>
      </w:tblGrid>
      <w:tr w14:paraId="58FF6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88" w:type="dxa"/>
            <w:noWrap w:val="0"/>
            <w:vAlign w:val="center"/>
          </w:tcPr>
          <w:p w14:paraId="77E742A7">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sz w:val="24"/>
                <w:szCs w:val="24"/>
                <w:highlight w:val="none"/>
                <w:vertAlign w:val="baseline"/>
                <w14:textFill>
                  <w14:solidFill>
                    <w14:schemeClr w14:val="tx1"/>
                  </w14:solidFill>
                </w14:textFill>
              </w:rPr>
            </w:pPr>
            <w:r>
              <w:rPr>
                <w:rFonts w:hint="eastAsia" w:ascii="仿宋" w:hAnsi="仿宋" w:eastAsia="仿宋" w:cs="仿宋"/>
                <w:b/>
                <w:bCs w:val="0"/>
                <w:color w:val="000000" w:themeColor="text1"/>
                <w:kern w:val="0"/>
                <w:sz w:val="24"/>
                <w:szCs w:val="24"/>
                <w:highlight w:val="none"/>
                <w14:textFill>
                  <w14:solidFill>
                    <w14:schemeClr w14:val="tx1"/>
                  </w14:solidFill>
                </w14:textFill>
              </w:rPr>
              <w:t>序号</w:t>
            </w:r>
          </w:p>
        </w:tc>
        <w:tc>
          <w:tcPr>
            <w:tcW w:w="1723" w:type="dxa"/>
            <w:noWrap w:val="0"/>
            <w:vAlign w:val="center"/>
          </w:tcPr>
          <w:p w14:paraId="270960D5">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t>检查事项</w:t>
            </w:r>
          </w:p>
        </w:tc>
        <w:tc>
          <w:tcPr>
            <w:tcW w:w="4009" w:type="dxa"/>
            <w:noWrap w:val="0"/>
            <w:vAlign w:val="center"/>
          </w:tcPr>
          <w:p w14:paraId="05471C5C">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t>执法依据</w:t>
            </w:r>
          </w:p>
        </w:tc>
        <w:tc>
          <w:tcPr>
            <w:tcW w:w="1573" w:type="dxa"/>
            <w:noWrap w:val="0"/>
            <w:vAlign w:val="center"/>
          </w:tcPr>
          <w:p w14:paraId="2D04DCDC">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kern w:val="2"/>
                <w:sz w:val="24"/>
                <w:szCs w:val="24"/>
                <w:highlight w:val="none"/>
                <w:vertAlign w:val="baseline"/>
                <w:lang w:val="en" w:eastAsia="zh-CN" w:bidi="ar-SA"/>
                <w14:textFill>
                  <w14:solidFill>
                    <w14:schemeClr w14:val="tx1"/>
                  </w14:solidFill>
                </w14:textFill>
              </w:rPr>
            </w:pPr>
            <w:r>
              <w:rPr>
                <w:rFonts w:hint="eastAsia" w:ascii="仿宋" w:hAnsi="仿宋" w:eastAsia="仿宋" w:cs="仿宋"/>
                <w:b/>
                <w:bCs w:val="0"/>
                <w:color w:val="000000" w:themeColor="text1"/>
                <w:kern w:val="0"/>
                <w:sz w:val="24"/>
                <w:szCs w:val="24"/>
                <w:highlight w:val="none"/>
                <w:lang w:val="en-US" w:eastAsia="zh-CN"/>
                <w14:textFill>
                  <w14:solidFill>
                    <w14:schemeClr w14:val="tx1"/>
                  </w14:solidFill>
                </w14:textFill>
              </w:rPr>
              <w:t>检查主体（实施层级）</w:t>
            </w:r>
          </w:p>
        </w:tc>
        <w:tc>
          <w:tcPr>
            <w:tcW w:w="1599" w:type="dxa"/>
            <w:noWrap w:val="0"/>
            <w:vAlign w:val="center"/>
          </w:tcPr>
          <w:p w14:paraId="3BBA341D">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t>承办机构</w:t>
            </w:r>
          </w:p>
        </w:tc>
        <w:tc>
          <w:tcPr>
            <w:tcW w:w="1246" w:type="dxa"/>
            <w:noWrap w:val="0"/>
            <w:vAlign w:val="center"/>
          </w:tcPr>
          <w:p w14:paraId="65A9EF2D">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t>检查对象</w:t>
            </w:r>
          </w:p>
        </w:tc>
        <w:tc>
          <w:tcPr>
            <w:tcW w:w="1370" w:type="dxa"/>
            <w:noWrap w:val="0"/>
            <w:vAlign w:val="center"/>
          </w:tcPr>
          <w:p w14:paraId="47E62F44">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pPr>
            <w: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t>检查内容</w:t>
            </w:r>
          </w:p>
        </w:tc>
        <w:tc>
          <w:tcPr>
            <w:tcW w:w="898" w:type="dxa"/>
            <w:noWrap w:val="0"/>
            <w:vAlign w:val="center"/>
          </w:tcPr>
          <w:p w14:paraId="0DE3B538">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pPr>
            <w: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t>检查方式</w:t>
            </w:r>
          </w:p>
        </w:tc>
        <w:tc>
          <w:tcPr>
            <w:tcW w:w="1386" w:type="dxa"/>
            <w:noWrap w:val="0"/>
            <w:vAlign w:val="center"/>
          </w:tcPr>
          <w:p w14:paraId="4CFDB22F">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pPr>
            <w:r>
              <w:rPr>
                <w:rFonts w:hint="eastAsia" w:ascii="仿宋" w:hAnsi="仿宋" w:eastAsia="仿宋" w:cs="仿宋"/>
                <w:b/>
                <w:bCs w:val="0"/>
                <w:color w:val="000000" w:themeColor="text1"/>
                <w:kern w:val="0"/>
                <w:sz w:val="24"/>
                <w:szCs w:val="24"/>
                <w:highlight w:val="none"/>
                <w:lang w:eastAsia="zh-CN"/>
                <w14:textFill>
                  <w14:solidFill>
                    <w14:schemeClr w14:val="tx1"/>
                  </w14:solidFill>
                </w14:textFill>
              </w:rPr>
              <w:t>检查频次</w:t>
            </w:r>
          </w:p>
        </w:tc>
        <w:tc>
          <w:tcPr>
            <w:tcW w:w="1406" w:type="dxa"/>
            <w:noWrap w:val="0"/>
            <w:vAlign w:val="center"/>
          </w:tcPr>
          <w:p w14:paraId="59B7B9A7">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
                <w:bCs w:val="0"/>
                <w:color w:val="000000" w:themeColor="text1"/>
                <w:sz w:val="21"/>
                <w:szCs w:val="21"/>
                <w:highlight w:val="none"/>
                <w:vertAlign w:val="baseline"/>
                <w14:textFill>
                  <w14:solidFill>
                    <w14:schemeClr w14:val="tx1"/>
                  </w14:solidFill>
                </w14:textFill>
              </w:rPr>
            </w:pPr>
            <w:r>
              <w:rPr>
                <w:rFonts w:hint="eastAsia" w:ascii="仿宋" w:hAnsi="仿宋" w:eastAsia="仿宋" w:cs="仿宋"/>
                <w:b/>
                <w:bCs w:val="0"/>
                <w:color w:val="000000" w:themeColor="text1"/>
                <w:kern w:val="0"/>
                <w:sz w:val="21"/>
                <w:szCs w:val="21"/>
                <w:highlight w:val="none"/>
                <w:lang w:eastAsia="zh-CN"/>
                <w14:textFill>
                  <w14:solidFill>
                    <w14:schemeClr w14:val="tx1"/>
                  </w14:solidFill>
                </w14:textFill>
              </w:rPr>
              <w:t>备注</w:t>
            </w:r>
          </w:p>
        </w:tc>
      </w:tr>
      <w:tr w14:paraId="2CD0D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dxa"/>
            <w:noWrap w:val="0"/>
            <w:vAlign w:val="center"/>
          </w:tcPr>
          <w:p w14:paraId="5F12876C">
            <w:pPr>
              <w:keepNext w:val="0"/>
              <w:keepLines w:val="0"/>
              <w:pageBreakBefore w:val="0"/>
              <w:widowControl w:val="0"/>
              <w:tabs>
                <w:tab w:val="left" w:pos="0"/>
              </w:tabs>
              <w:kinsoku/>
              <w:wordWrap/>
              <w:overflowPunct w:val="0"/>
              <w:topLinePunct/>
              <w:autoSpaceDE/>
              <w:autoSpaceDN/>
              <w:bidi w:val="0"/>
              <w:adjustRightInd w:val="0"/>
              <w:snapToGrid w:val="0"/>
              <w:spacing w:line="320" w:lineRule="exact"/>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1</w:t>
            </w:r>
          </w:p>
        </w:tc>
        <w:tc>
          <w:tcPr>
            <w:tcW w:w="1723" w:type="dxa"/>
            <w:noWrap w:val="0"/>
            <w:vAlign w:val="center"/>
          </w:tcPr>
          <w:p w14:paraId="2156C6AB">
            <w:pPr>
              <w:keepNext w:val="0"/>
              <w:keepLines w:val="0"/>
              <w:pageBreakBefore w:val="0"/>
              <w:widowControl w:val="0"/>
              <w:kinsoku/>
              <w:wordWrap/>
              <w:overflowPunct w:val="0"/>
              <w:topLinePunct/>
              <w:autoSpaceDE/>
              <w:autoSpaceDN/>
              <w:bidi w:val="0"/>
              <w:adjustRightInd w:val="0"/>
              <w:snapToGrid w:val="0"/>
              <w:spacing w:line="320" w:lineRule="exact"/>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对企业环境信息依法披露情况的行政检查</w:t>
            </w:r>
          </w:p>
        </w:tc>
        <w:tc>
          <w:tcPr>
            <w:tcW w:w="4009" w:type="dxa"/>
            <w:noWrap w:val="0"/>
            <w:vAlign w:val="center"/>
          </w:tcPr>
          <w:p w14:paraId="4BF6906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1.《企业环境信息依法披露管理办法》（生态环境部令第24号，2022年2月8日施行）</w:t>
            </w:r>
          </w:p>
          <w:p w14:paraId="0A4E570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生态环境主管部门应当会同有关部门加强对企业环境信息依法披露活动的监督检查，及时受理社会公众举报，依法查处企业未按规定披露环境信息的行为。鼓励生态环境主管部门运用大数据分析、人工智能等技术手段开展监督检查。</w:t>
            </w:r>
          </w:p>
        </w:tc>
        <w:tc>
          <w:tcPr>
            <w:tcW w:w="1573" w:type="dxa"/>
            <w:noWrap w:val="0"/>
            <w:vAlign w:val="center"/>
          </w:tcPr>
          <w:p w14:paraId="7B2178BA">
            <w:pPr>
              <w:keepNext w:val="0"/>
              <w:keepLines w:val="0"/>
              <w:pageBreakBefore w:val="0"/>
              <w:widowControl w:val="0"/>
              <w:kinsoku/>
              <w:wordWrap/>
              <w:overflowPunct w:val="0"/>
              <w:topLinePunct/>
              <w:autoSpaceDE/>
              <w:autoSpaceDN/>
              <w:bidi w:val="0"/>
              <w:adjustRightInd w:val="0"/>
              <w:snapToGrid w:val="0"/>
              <w:spacing w:line="320" w:lineRule="exact"/>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312F450D">
            <w:pPr>
              <w:keepNext w:val="0"/>
              <w:keepLines w:val="0"/>
              <w:pageBreakBefore w:val="0"/>
              <w:widowControl w:val="0"/>
              <w:kinsoku/>
              <w:wordWrap/>
              <w:overflowPunct w:val="0"/>
              <w:topLinePunct/>
              <w:autoSpaceDE/>
              <w:autoSpaceDN/>
              <w:bidi w:val="0"/>
              <w:adjustRightInd w:val="0"/>
              <w:snapToGrid w:val="0"/>
              <w:spacing w:line="320" w:lineRule="exact"/>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省生态环境厅综合协调处、生态环境执法局；各市（州）生态环境局及分局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09CB6780">
            <w:pPr>
              <w:keepNext w:val="0"/>
              <w:keepLines w:val="0"/>
              <w:pageBreakBefore w:val="0"/>
              <w:widowControl w:val="0"/>
              <w:kinsoku/>
              <w:wordWrap/>
              <w:overflowPunct w:val="0"/>
              <w:topLinePunct/>
              <w:autoSpaceDE/>
              <w:autoSpaceDN/>
              <w:bidi w:val="0"/>
              <w:adjustRightInd w:val="0"/>
              <w:snapToGrid w:val="0"/>
              <w:spacing w:line="320" w:lineRule="exact"/>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纳入环境信息依法披露名单的相关企业</w:t>
            </w:r>
          </w:p>
        </w:tc>
        <w:tc>
          <w:tcPr>
            <w:tcW w:w="1370" w:type="dxa"/>
            <w:noWrap w:val="0"/>
            <w:vAlign w:val="center"/>
          </w:tcPr>
          <w:p w14:paraId="429A002B">
            <w:pPr>
              <w:keepNext w:val="0"/>
              <w:keepLines w:val="0"/>
              <w:pageBreakBefore w:val="0"/>
              <w:widowControl w:val="0"/>
              <w:kinsoku/>
              <w:wordWrap/>
              <w:overflowPunct w:val="0"/>
              <w:topLinePunct/>
              <w:autoSpaceDE/>
              <w:autoSpaceDN/>
              <w:bidi w:val="0"/>
              <w:adjustRightInd w:val="0"/>
              <w:snapToGrid w:val="0"/>
              <w:spacing w:line="320" w:lineRule="exact"/>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企业环境信息依法披露情况监督检查</w:t>
            </w:r>
          </w:p>
        </w:tc>
        <w:tc>
          <w:tcPr>
            <w:tcW w:w="898" w:type="dxa"/>
            <w:noWrap w:val="0"/>
            <w:vAlign w:val="center"/>
          </w:tcPr>
          <w:p w14:paraId="24448181">
            <w:pPr>
              <w:keepNext w:val="0"/>
              <w:keepLines w:val="0"/>
              <w:pageBreakBefore w:val="0"/>
              <w:widowControl w:val="0"/>
              <w:kinsoku/>
              <w:wordWrap/>
              <w:autoSpaceDE/>
              <w:autoSpaceDN/>
              <w:bidi w:val="0"/>
              <w:adjustRightInd w:val="0"/>
              <w:snapToGrid w:val="0"/>
              <w:spacing w:line="320" w:lineRule="exact"/>
              <w:jc w:val="both"/>
              <w:textAlignment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24E3388C">
            <w:pPr>
              <w:keepNext w:val="0"/>
              <w:keepLines w:val="0"/>
              <w:pageBreakBefore w:val="0"/>
              <w:widowControl w:val="0"/>
              <w:kinsoku/>
              <w:wordWrap/>
              <w:overflowPunct w:val="0"/>
              <w:topLinePunct/>
              <w:autoSpaceDE/>
              <w:autoSpaceDN/>
              <w:bidi w:val="0"/>
              <w:adjustRightInd w:val="0"/>
              <w:snapToGrid w:val="0"/>
              <w:spacing w:line="320" w:lineRule="exact"/>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2326B836">
            <w:pPr>
              <w:keepNext w:val="0"/>
              <w:keepLines w:val="0"/>
              <w:pageBreakBefore w:val="0"/>
              <w:widowControl w:val="0"/>
              <w:kinsoku/>
              <w:wordWrap/>
              <w:autoSpaceDE/>
              <w:autoSpaceDN/>
              <w:bidi w:val="0"/>
              <w:adjustRightInd w:val="0"/>
              <w:snapToGrid w:val="0"/>
              <w:spacing w:line="320" w:lineRule="exact"/>
              <w:jc w:val="left"/>
              <w:rPr>
                <w:rFonts w:hint="default" w:ascii="仿宋" w:hAnsi="仿宋" w:eastAsia="仿宋" w:cs="仿宋"/>
                <w:bCs/>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4DFB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noWrap w:val="0"/>
            <w:vAlign w:val="center"/>
          </w:tcPr>
          <w:p w14:paraId="3A7315F5">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2</w:t>
            </w:r>
          </w:p>
        </w:tc>
        <w:tc>
          <w:tcPr>
            <w:tcW w:w="1723" w:type="dxa"/>
            <w:noWrap w:val="0"/>
            <w:vAlign w:val="center"/>
          </w:tcPr>
          <w:p w14:paraId="1B73A55F">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对各类自然保护区管理的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0DA029A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1.《中华人民共和国自然保护区条例》（2017年修订）</w:t>
            </w:r>
          </w:p>
          <w:p w14:paraId="38C6ABE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第二十条 县级以上人民政府环境保护行政主管部门有权对本行政区域内各类自然保护区的管理进行监督检查；县级以上人民政府有关自然保护区行政主管部门有权对其主管的自然保护区的管理进行监督检查。被检查的单位应当如实反映情况，提供必要的资料。检查者应当为被检查的单位保守技术秘密和业务秘密。</w:t>
            </w:r>
          </w:p>
        </w:tc>
        <w:tc>
          <w:tcPr>
            <w:tcW w:w="1573" w:type="dxa"/>
            <w:noWrap w:val="0"/>
            <w:vAlign w:val="center"/>
          </w:tcPr>
          <w:p w14:paraId="714FC69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0F93D66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省生态环境厅自然生态保护处</w:t>
            </w: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、生态环境执法局</w:t>
            </w:r>
            <w:r>
              <w:rPr>
                <w:rFonts w:hint="eastAsia" w:ascii="仿宋" w:hAnsi="仿宋" w:eastAsia="仿宋" w:cs="仿宋"/>
                <w:strike w:val="0"/>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1F17A9A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各类自然保护区内涉嫌违法建设的企业</w:t>
            </w:r>
          </w:p>
        </w:tc>
        <w:tc>
          <w:tcPr>
            <w:tcW w:w="1370" w:type="dxa"/>
            <w:noWrap w:val="0"/>
            <w:vAlign w:val="center"/>
          </w:tcPr>
          <w:p w14:paraId="723C372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对在自然保护地内进行非法开矿、修路、筑坝、建设造成生态破坏的监督检查</w:t>
            </w:r>
          </w:p>
        </w:tc>
        <w:tc>
          <w:tcPr>
            <w:tcW w:w="898" w:type="dxa"/>
            <w:noWrap w:val="0"/>
            <w:vAlign w:val="center"/>
          </w:tcPr>
          <w:p w14:paraId="187551CD">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5332AF0B">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2D931ADF">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p>
          <w:p w14:paraId="46DCECE5">
            <w:pPr>
              <w:keepNext w:val="0"/>
              <w:keepLines w:val="0"/>
              <w:pageBreakBefore w:val="0"/>
              <w:widowControl w:val="0"/>
              <w:tabs>
                <w:tab w:val="center" w:pos="4153"/>
                <w:tab w:val="right" w:pos="8306"/>
              </w:tabs>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p w14:paraId="13558C7D">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p>
        </w:tc>
      </w:tr>
      <w:tr w14:paraId="3465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88" w:type="dxa"/>
            <w:noWrap w:val="0"/>
            <w:vAlign w:val="center"/>
          </w:tcPr>
          <w:p w14:paraId="3BEA4F11">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3</w:t>
            </w:r>
          </w:p>
        </w:tc>
        <w:tc>
          <w:tcPr>
            <w:tcW w:w="1723" w:type="dxa"/>
            <w:noWrap w:val="0"/>
            <w:vAlign w:val="center"/>
          </w:tcPr>
          <w:p w14:paraId="0360B4B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对各级各类风景名胜区、湿地公园、森林公园等自然保护地管理的行政检查</w:t>
            </w:r>
          </w:p>
        </w:tc>
        <w:tc>
          <w:tcPr>
            <w:tcW w:w="4009" w:type="dxa"/>
            <w:noWrap w:val="0"/>
            <w:vAlign w:val="center"/>
          </w:tcPr>
          <w:p w14:paraId="5CD3BB97">
            <w:pPr>
              <w:widowControl w:val="0"/>
              <w:rPr>
                <w:rFonts w:hint="eastAsia" w:ascii="仿宋" w:hAnsi="仿宋" w:eastAsia="仿宋" w:cs="仿宋"/>
                <w:color w:val="000000" w:themeColor="text1"/>
                <w:sz w:val="24"/>
                <w:szCs w:val="24"/>
                <w14:textFill>
                  <w14:solidFill>
                    <w14:schemeClr w14:val="tx1"/>
                  </w14:solidFill>
                </w14:textFill>
              </w:rPr>
            </w:pPr>
          </w:p>
          <w:p w14:paraId="6D70979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1.《中华人民共和国湿地保护法》（2022年6月1日施行）</w:t>
            </w:r>
          </w:p>
          <w:p w14:paraId="166B2F2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第五条  国务院林业草原主管部门负责湿地资源的监督管理，负责湿地保护规划和相关国家标准拟定、湿地开发利用的监督管理、湿地生态保护修复工作。国务院自然资源、水行政、住房城乡建设、生态环境、农业农村等其他有关部门，按照职责分工承担湿地保护、修复、管理有关工作。</w:t>
            </w:r>
          </w:p>
          <w:p w14:paraId="53B39E6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国务院林业草原主管部门会同国务院自然资源、水行政、住房城乡建设、生态环境、农业农村等主管部门建立湿地保护协作和信息通报机制。</w:t>
            </w:r>
          </w:p>
          <w:p w14:paraId="31642AF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2.《风景名胜区条例》（2016年修订）</w:t>
            </w:r>
          </w:p>
          <w:p w14:paraId="770E739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第五条 国务院建设主管部门负责全国风景名胜区的监督管理工作。国务院其他有关部门按照国务院规定的职责分工，负责风景名胜区的有关监督管理工作。</w:t>
            </w:r>
          </w:p>
          <w:p w14:paraId="12116BD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省、自治区人民政府建设主管部门和直辖市人民政府风景名胜区主管部门，负责本行政区域内风景名胜区的监督管理工作。省、自治区、直辖市人民政府其他有关部门按照规定的职责分工，负责风景名胜区的有关监督管理工作。</w:t>
            </w:r>
          </w:p>
          <w:p w14:paraId="129D015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 xml:space="preserve">第三十六条第一款 风景名胜区管理机构应当建立健全安全保障制度，加强安全管理，保障游览安全，并督促风景名胜区内的经营单位接受有关部门依据法律、法规进行的监督检查。 </w:t>
            </w:r>
          </w:p>
          <w:p w14:paraId="7F3499F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3.《湖南省森林公园条例》（2018年5月1日施行）</w:t>
            </w:r>
          </w:p>
          <w:p w14:paraId="14E193B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第五条　省人民政府林业主管部门应当会同有关部门开展森林风景资源普查，编制和实施全省森林公园发展规划，采取措施推动森林公园事业发展。</w:t>
            </w:r>
          </w:p>
          <w:p w14:paraId="113831F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县级以上人民政府林业主管部门负责本行政区域内森林公园的监督管理。</w:t>
            </w:r>
          </w:p>
          <w:p w14:paraId="600F217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县级以上人民政府财政、自然资源、生态环境、住房和城乡建设、交通运输、水利、文化和旅游、民族宗教等有关部门按照各自职责，做好森林公园的有关监督管理工作。</w:t>
            </w:r>
          </w:p>
        </w:tc>
        <w:tc>
          <w:tcPr>
            <w:tcW w:w="1573" w:type="dxa"/>
            <w:noWrap w:val="0"/>
            <w:vAlign w:val="center"/>
          </w:tcPr>
          <w:p w14:paraId="09395CB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5E3E33D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省生态环境厅自然生态保护处、</w:t>
            </w: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生态环境执法局</w:t>
            </w:r>
            <w:r>
              <w:rPr>
                <w:rFonts w:hint="eastAsia" w:ascii="仿宋" w:hAnsi="仿宋" w:eastAsia="仿宋" w:cs="仿宋"/>
                <w:strike w:val="0"/>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3E1E2AC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各级各类自然保护地（除自然保护区）内涉嫌违法建设的企业</w:t>
            </w:r>
          </w:p>
        </w:tc>
        <w:tc>
          <w:tcPr>
            <w:tcW w:w="1370" w:type="dxa"/>
            <w:noWrap w:val="0"/>
            <w:vAlign w:val="center"/>
          </w:tcPr>
          <w:p w14:paraId="4EE66E9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对在自然保护地内进行非法开矿、修路、筑坝、建设造成生态破坏的监督检查</w:t>
            </w:r>
          </w:p>
        </w:tc>
        <w:tc>
          <w:tcPr>
            <w:tcW w:w="898" w:type="dxa"/>
            <w:noWrap w:val="0"/>
            <w:vAlign w:val="center"/>
          </w:tcPr>
          <w:p w14:paraId="7CEE3F0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272FF32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052AD96D">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B92B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8" w:hRule="atLeast"/>
          <w:jc w:val="center"/>
        </w:trPr>
        <w:tc>
          <w:tcPr>
            <w:tcW w:w="788" w:type="dxa"/>
            <w:noWrap w:val="0"/>
            <w:vAlign w:val="center"/>
          </w:tcPr>
          <w:p w14:paraId="1E3FAD2B">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4</w:t>
            </w:r>
          </w:p>
        </w:tc>
        <w:tc>
          <w:tcPr>
            <w:tcW w:w="1723" w:type="dxa"/>
            <w:noWrap w:val="0"/>
            <w:vAlign w:val="center"/>
          </w:tcPr>
          <w:p w14:paraId="2E009049">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对辖区内进出口环保用微生物菌剂环境安全的行政检查</w:t>
            </w:r>
          </w:p>
        </w:tc>
        <w:tc>
          <w:tcPr>
            <w:tcW w:w="4009" w:type="dxa"/>
            <w:noWrap w:val="0"/>
            <w:vAlign w:val="center"/>
          </w:tcPr>
          <w:p w14:paraId="038BE6A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1.《进出口环保用微生物菌剂环境安全管理办法》（环境保护部、国家质量监督检验检疫总局令第10号，2010年5月1日施行）</w:t>
            </w:r>
          </w:p>
          <w:p w14:paraId="4EF0976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第五条第一款 环境保护部对进出口环保用微生物菌剂环境安全实施监督管理。省、自治区、直辖市环境保护行政主管部门依照本办法对辖区内进出口环保用微生物菌剂环境安全实施监督管理。</w:t>
            </w:r>
          </w:p>
        </w:tc>
        <w:tc>
          <w:tcPr>
            <w:tcW w:w="1573" w:type="dxa"/>
            <w:noWrap w:val="0"/>
            <w:vAlign w:val="center"/>
          </w:tcPr>
          <w:p w14:paraId="3F661E6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w:t>
            </w:r>
          </w:p>
        </w:tc>
        <w:tc>
          <w:tcPr>
            <w:tcW w:w="1599" w:type="dxa"/>
            <w:noWrap w:val="0"/>
            <w:vAlign w:val="center"/>
          </w:tcPr>
          <w:p w14:paraId="394E6C9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省生态环境厅自然生态保护处、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p>
        </w:tc>
        <w:tc>
          <w:tcPr>
            <w:tcW w:w="1246" w:type="dxa"/>
            <w:noWrap w:val="0"/>
            <w:vAlign w:val="center"/>
          </w:tcPr>
          <w:p w14:paraId="292080EF">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环保用微生物菌剂进出口企业和其他生产经营者</w:t>
            </w:r>
          </w:p>
        </w:tc>
        <w:tc>
          <w:tcPr>
            <w:tcW w:w="1370" w:type="dxa"/>
            <w:noWrap w:val="0"/>
            <w:vAlign w:val="center"/>
          </w:tcPr>
          <w:p w14:paraId="71986188">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环保用微生物菌剂生产、使用、储藏、运输和处理的环境安全控制措施</w:t>
            </w:r>
          </w:p>
        </w:tc>
        <w:tc>
          <w:tcPr>
            <w:tcW w:w="898" w:type="dxa"/>
            <w:noWrap w:val="0"/>
            <w:vAlign w:val="center"/>
          </w:tcPr>
          <w:p w14:paraId="510896C8">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033D407D">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66151F25">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8BDB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788" w:type="dxa"/>
            <w:noWrap w:val="0"/>
            <w:vAlign w:val="center"/>
          </w:tcPr>
          <w:p w14:paraId="2475764E">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5</w:t>
            </w:r>
          </w:p>
        </w:tc>
        <w:tc>
          <w:tcPr>
            <w:tcW w:w="1723" w:type="dxa"/>
            <w:noWrap w:val="0"/>
            <w:vAlign w:val="center"/>
          </w:tcPr>
          <w:p w14:paraId="6BEAF28A">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对排放</w:t>
            </w:r>
            <w:r>
              <w:rPr>
                <w:rFonts w:hint="eastAsia" w:ascii="仿宋" w:hAnsi="仿宋" w:eastAsia="仿宋" w:cs="仿宋"/>
                <w:color w:val="000000" w:themeColor="text1"/>
                <w:sz w:val="24"/>
                <w:szCs w:val="24"/>
                <w:highlight w:val="none"/>
                <w:lang w:eastAsia="zh-CN"/>
                <w14:textFill>
                  <w14:solidFill>
                    <w14:schemeClr w14:val="tx1"/>
                  </w14:solidFill>
                </w14:textFill>
              </w:rPr>
              <w:t>水</w:t>
            </w:r>
            <w:r>
              <w:rPr>
                <w:rFonts w:hint="eastAsia" w:ascii="仿宋" w:hAnsi="仿宋" w:eastAsia="仿宋" w:cs="仿宋"/>
                <w:color w:val="000000" w:themeColor="text1"/>
                <w:sz w:val="24"/>
                <w:szCs w:val="24"/>
                <w:highlight w:val="none"/>
                <w14:textFill>
                  <w14:solidFill>
                    <w14:schemeClr w14:val="tx1"/>
                  </w14:solidFill>
                </w14:textFill>
              </w:rPr>
              <w:t>污染物的企业事业单位和其他生产经营者</w:t>
            </w:r>
            <w:r>
              <w:rPr>
                <w:rFonts w:hint="eastAsia" w:ascii="仿宋" w:hAnsi="仿宋" w:eastAsia="仿宋" w:cs="仿宋"/>
                <w:color w:val="000000" w:themeColor="text1"/>
                <w:sz w:val="24"/>
                <w:szCs w:val="24"/>
                <w:highlight w:val="none"/>
                <w:lang w:eastAsia="zh-CN"/>
                <w14:textFill>
                  <w14:solidFill>
                    <w14:schemeClr w14:val="tx1"/>
                  </w14:solidFill>
                </w14:textFill>
              </w:rPr>
              <w:t>的行政检查</w:t>
            </w:r>
          </w:p>
        </w:tc>
        <w:tc>
          <w:tcPr>
            <w:tcW w:w="4009" w:type="dxa"/>
            <w:noWrap w:val="0"/>
            <w:vAlign w:val="center"/>
          </w:tcPr>
          <w:p w14:paraId="6A661FF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1.《中华人民共和国环境保护法》（2014年修订）</w:t>
            </w:r>
          </w:p>
          <w:p w14:paraId="32606BA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14:paraId="087E9EE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2.《中华人民共和国水污染防治法》（2017年修正）</w:t>
            </w:r>
          </w:p>
          <w:p w14:paraId="14BA562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第三十条 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p w14:paraId="5B3551A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3.《湖南省环境保护条例》（2024年修正）</w:t>
            </w:r>
          </w:p>
          <w:p w14:paraId="674580C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一条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14:paraId="2B15875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被检查者应当配合检查，如实反映情况，提供必要的资料。</w:t>
            </w:r>
          </w:p>
          <w:p w14:paraId="6C64F8F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 xml:space="preserve">4.《湖南省湘江保护条例》（2023年修正） </w:t>
            </w:r>
          </w:p>
          <w:p w14:paraId="27FE10F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第七条 湘江流域县级以上人民政府水利、生态环境、交通运输、发展和改革、自然资源、林业、农业农村等有关部门应当按照各自职责，做好本行政区域内湘江保护的有关工作。</w:t>
            </w:r>
          </w:p>
        </w:tc>
        <w:tc>
          <w:tcPr>
            <w:tcW w:w="1573" w:type="dxa"/>
            <w:noWrap w:val="0"/>
            <w:vAlign w:val="center"/>
          </w:tcPr>
          <w:p w14:paraId="6F74DAA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1957735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省生态环境厅水生态环境处、生态环境执法局；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1B77A8E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排放</w:t>
            </w:r>
            <w:r>
              <w:rPr>
                <w:rFonts w:hint="eastAsia" w:ascii="仿宋" w:hAnsi="仿宋" w:eastAsia="仿宋" w:cs="仿宋"/>
                <w:color w:val="000000" w:themeColor="text1"/>
                <w:sz w:val="24"/>
                <w:szCs w:val="24"/>
                <w:highlight w:val="none"/>
                <w:lang w:eastAsia="zh-CN"/>
                <w14:textFill>
                  <w14:solidFill>
                    <w14:schemeClr w14:val="tx1"/>
                  </w14:solidFill>
                </w14:textFill>
              </w:rPr>
              <w:t>水</w:t>
            </w:r>
            <w:r>
              <w:rPr>
                <w:rFonts w:hint="eastAsia" w:ascii="仿宋" w:hAnsi="仿宋" w:eastAsia="仿宋" w:cs="仿宋"/>
                <w:color w:val="000000" w:themeColor="text1"/>
                <w:sz w:val="24"/>
                <w:szCs w:val="24"/>
                <w:highlight w:val="none"/>
                <w14:textFill>
                  <w14:solidFill>
                    <w14:schemeClr w14:val="tx1"/>
                  </w14:solidFill>
                </w14:textFill>
              </w:rPr>
              <w:t>污染物的企业和其他生产经营者</w:t>
            </w:r>
          </w:p>
        </w:tc>
        <w:tc>
          <w:tcPr>
            <w:tcW w:w="1370" w:type="dxa"/>
            <w:noWrap w:val="0"/>
            <w:vAlign w:val="center"/>
          </w:tcPr>
          <w:p w14:paraId="45E73B7E">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1.污染防治设施运行情况监督检查</w:t>
            </w:r>
          </w:p>
          <w:p w14:paraId="2A9E0796">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2.达标排放情况监督检查</w:t>
            </w:r>
          </w:p>
        </w:tc>
        <w:tc>
          <w:tcPr>
            <w:tcW w:w="898" w:type="dxa"/>
            <w:noWrap w:val="0"/>
            <w:vAlign w:val="center"/>
          </w:tcPr>
          <w:p w14:paraId="18259F82">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1C0867FC">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27C07DEA">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579A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jc w:val="center"/>
        </w:trPr>
        <w:tc>
          <w:tcPr>
            <w:tcW w:w="788" w:type="dxa"/>
            <w:noWrap w:val="0"/>
            <w:vAlign w:val="center"/>
          </w:tcPr>
          <w:p w14:paraId="72C3ADC6">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6</w:t>
            </w:r>
          </w:p>
        </w:tc>
        <w:tc>
          <w:tcPr>
            <w:tcW w:w="1723" w:type="dxa"/>
            <w:noWrap w:val="0"/>
            <w:vAlign w:val="center"/>
          </w:tcPr>
          <w:p w14:paraId="6A066CA8">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对城镇污水集中处理设施的出水水质和水量的行政检查</w:t>
            </w:r>
          </w:p>
        </w:tc>
        <w:tc>
          <w:tcPr>
            <w:tcW w:w="4009" w:type="dxa"/>
            <w:noWrap w:val="0"/>
            <w:vAlign w:val="center"/>
          </w:tcPr>
          <w:p w14:paraId="25DC39A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1.《中华人民共和国水污染防治法》（2017年修正）</w:t>
            </w:r>
          </w:p>
          <w:p w14:paraId="582C1E9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第五十条 向城镇污水集中处理设施排放水污染物，应当符合国家或者地方规定的水污染物排放标准。</w:t>
            </w:r>
          </w:p>
          <w:p w14:paraId="42827EA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城镇污水集中处理设施的运营单位，应当对城镇污水集中处理设施的出水水质负责。</w:t>
            </w:r>
          </w:p>
          <w:p w14:paraId="5A65D8E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环境保护主管部门应当对城镇污水集中处理设施的出水水质和水量进行监督检查。</w:t>
            </w:r>
          </w:p>
          <w:p w14:paraId="00BF4A1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2《湖南省城镇污水管网建设运行管理若干规定》(2024年3月1日起施行)</w:t>
            </w:r>
          </w:p>
          <w:p w14:paraId="3F8B063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第一条第三款 县级以上人民政府排水与污水处理主管部门（以下简称排水主管部门）负责统筹组织城镇污水管网以及污水收集、输送、处理相关设施的规划、建设、运行、维护和管理工作。县级以上人民政府发展改革、财政、自然资源、生态环境、水利等部门按照各自职责，做好相关工作。</w:t>
            </w:r>
          </w:p>
          <w:p w14:paraId="50EFCF3C">
            <w:pPr>
              <w:keepNext w:val="0"/>
              <w:keepLines w:val="0"/>
              <w:widowControl w:val="0"/>
              <w:numPr>
                <w:ilvl w:val="0"/>
                <w:numId w:val="0"/>
              </w:numPr>
              <w:suppressLineNumbers w:val="0"/>
              <w:spacing w:before="0" w:beforeLines="0" w:beforeAutospacing="0" w:after="0" w:afterLines="0" w:afterAutospacing="0"/>
              <w:ind w:leftChars="0" w:right="0" w:rightChars="0"/>
              <w:jc w:val="both"/>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pPr>
          </w:p>
          <w:p w14:paraId="4E382D0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p>
        </w:tc>
        <w:tc>
          <w:tcPr>
            <w:tcW w:w="1573" w:type="dxa"/>
            <w:noWrap w:val="0"/>
            <w:vAlign w:val="center"/>
          </w:tcPr>
          <w:p w14:paraId="031621C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3226077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省生态环境厅水生态环境处、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3CD22E4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城镇污水集中处理设施</w:t>
            </w:r>
            <w:r>
              <w:rPr>
                <w:rFonts w:hint="eastAsia" w:ascii="仿宋" w:hAnsi="仿宋" w:eastAsia="仿宋" w:cs="仿宋"/>
                <w:color w:val="000000" w:themeColor="text1"/>
                <w:sz w:val="24"/>
                <w:szCs w:val="24"/>
                <w:highlight w:val="none"/>
                <w:lang w:val="en-US" w:eastAsia="zh-CN"/>
                <w14:textFill>
                  <w14:solidFill>
                    <w14:schemeClr w14:val="tx1"/>
                  </w14:solidFill>
                </w14:textFill>
              </w:rPr>
              <w:t>的运营企业</w:t>
            </w:r>
          </w:p>
        </w:tc>
        <w:tc>
          <w:tcPr>
            <w:tcW w:w="1370" w:type="dxa"/>
            <w:noWrap w:val="0"/>
            <w:vAlign w:val="center"/>
          </w:tcPr>
          <w:p w14:paraId="61984FC8">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达标排放情况监督检查</w:t>
            </w:r>
          </w:p>
        </w:tc>
        <w:tc>
          <w:tcPr>
            <w:tcW w:w="898" w:type="dxa"/>
            <w:noWrap w:val="0"/>
            <w:vAlign w:val="center"/>
          </w:tcPr>
          <w:p w14:paraId="0A302FC6">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31B96C62">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294BD4B9">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7EAF9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jc w:val="center"/>
        </w:trPr>
        <w:tc>
          <w:tcPr>
            <w:tcW w:w="788" w:type="dxa"/>
            <w:noWrap w:val="0"/>
            <w:vAlign w:val="center"/>
          </w:tcPr>
          <w:p w14:paraId="48B7A7CC">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7</w:t>
            </w:r>
          </w:p>
        </w:tc>
        <w:tc>
          <w:tcPr>
            <w:tcW w:w="1723" w:type="dxa"/>
            <w:noWrap w:val="0"/>
            <w:vAlign w:val="center"/>
          </w:tcPr>
          <w:p w14:paraId="79904E3E">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对入河排污口的</w:t>
            </w:r>
            <w:r>
              <w:rPr>
                <w:rFonts w:hint="eastAsia" w:ascii="仿宋" w:hAnsi="仿宋" w:eastAsia="仿宋" w:cs="仿宋"/>
                <w:color w:val="000000" w:themeColor="text1"/>
                <w:sz w:val="24"/>
                <w:szCs w:val="24"/>
                <w:highlight w:val="none"/>
                <w:lang w:eastAsia="zh-CN"/>
                <w14:textFill>
                  <w14:solidFill>
                    <w14:schemeClr w14:val="tx1"/>
                  </w14:solidFill>
                </w14:textFill>
              </w:rPr>
              <w:t>行政</w:t>
            </w:r>
            <w:r>
              <w:rPr>
                <w:rFonts w:hint="eastAsia" w:ascii="仿宋" w:hAnsi="仿宋" w:eastAsia="仿宋" w:cs="仿宋"/>
                <w:color w:val="000000" w:themeColor="text1"/>
                <w:sz w:val="24"/>
                <w:szCs w:val="24"/>
                <w:highlight w:val="none"/>
                <w14:textFill>
                  <w14:solidFill>
                    <w14:schemeClr w14:val="tx1"/>
                  </w14:solidFill>
                </w14:textFill>
              </w:rPr>
              <w:t>检查</w:t>
            </w:r>
          </w:p>
        </w:tc>
        <w:tc>
          <w:tcPr>
            <w:tcW w:w="4009" w:type="dxa"/>
            <w:noWrap w:val="0"/>
            <w:vAlign w:val="center"/>
          </w:tcPr>
          <w:p w14:paraId="2DE7EAA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1、《入河排污口监督管理办法》（生态环境部令第35号，2025年1月1日施行）</w:t>
            </w:r>
          </w:p>
          <w:p w14:paraId="06FA1EA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第二十六条 流域生态环境监督管理机构应当加大对流域内入河排污口的监督检查力度，发现问题及时通报有关单位。</w:t>
            </w:r>
          </w:p>
          <w:p w14:paraId="6091922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highlight w:val="none"/>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地方生态环境主管部门应当加强对入河排污口的现场检查，必要时可以会同有关部门开展联合监督检查。</w:t>
            </w:r>
          </w:p>
        </w:tc>
        <w:tc>
          <w:tcPr>
            <w:tcW w:w="1573" w:type="dxa"/>
            <w:noWrap w:val="0"/>
            <w:vAlign w:val="center"/>
          </w:tcPr>
          <w:p w14:paraId="097AAA6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24897DA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省生态环境厅水生态环境处、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004D4B8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入河排污口责任主体（</w:t>
            </w:r>
            <w:r>
              <w:rPr>
                <w:rFonts w:hint="eastAsia" w:ascii="仿宋" w:hAnsi="仿宋" w:eastAsia="仿宋" w:cs="仿宋"/>
                <w:color w:val="000000" w:themeColor="text1"/>
                <w:sz w:val="24"/>
                <w:szCs w:val="24"/>
                <w:highlight w:val="none"/>
                <w:lang w:val="en-US" w:eastAsia="zh-CN"/>
                <w14:textFill>
                  <w14:solidFill>
                    <w14:schemeClr w14:val="tx1"/>
                  </w14:solidFill>
                </w14:textFill>
              </w:rPr>
              <w:t>排污企业）</w:t>
            </w:r>
          </w:p>
        </w:tc>
        <w:tc>
          <w:tcPr>
            <w:tcW w:w="1370" w:type="dxa"/>
            <w:noWrap w:val="0"/>
            <w:vAlign w:val="center"/>
          </w:tcPr>
          <w:p w14:paraId="0EC8A56F">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1.设置审批或登记情况监督检查</w:t>
            </w:r>
          </w:p>
          <w:p w14:paraId="61D74423">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2.排查整治情况监督检查</w:t>
            </w:r>
          </w:p>
          <w:p w14:paraId="1C228DA3">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3.规范化建设情况监督检查</w:t>
            </w:r>
          </w:p>
          <w:p w14:paraId="2867A84D">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4.达标排放情况监督检查</w:t>
            </w:r>
          </w:p>
        </w:tc>
        <w:tc>
          <w:tcPr>
            <w:tcW w:w="898" w:type="dxa"/>
            <w:noWrap w:val="0"/>
            <w:vAlign w:val="center"/>
          </w:tcPr>
          <w:p w14:paraId="5144EE25">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00717F79">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720CED63">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4B71B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788" w:type="dxa"/>
            <w:noWrap w:val="0"/>
            <w:vAlign w:val="center"/>
          </w:tcPr>
          <w:p w14:paraId="53CD4247">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8</w:t>
            </w:r>
          </w:p>
        </w:tc>
        <w:tc>
          <w:tcPr>
            <w:tcW w:w="1723" w:type="dxa"/>
            <w:noWrap w:val="0"/>
            <w:vAlign w:val="center"/>
          </w:tcPr>
          <w:p w14:paraId="4C321A2F">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对饮用水水源保护区及有关流域、区域内污染物排放情况的</w:t>
            </w:r>
            <w:r>
              <w:rPr>
                <w:rFonts w:hint="eastAsia" w:ascii="仿宋" w:hAnsi="仿宋" w:eastAsia="仿宋" w:cs="仿宋"/>
                <w:color w:val="000000" w:themeColor="text1"/>
                <w:sz w:val="24"/>
                <w:szCs w:val="24"/>
                <w:highlight w:val="none"/>
                <w:lang w:eastAsia="zh-CN"/>
                <w14:textFill>
                  <w14:solidFill>
                    <w14:schemeClr w14:val="tx1"/>
                  </w14:solidFill>
                </w14:textFill>
              </w:rPr>
              <w:t>行政</w:t>
            </w:r>
            <w:r>
              <w:rPr>
                <w:rFonts w:hint="eastAsia" w:ascii="仿宋" w:hAnsi="仿宋" w:eastAsia="仿宋" w:cs="仿宋"/>
                <w:color w:val="000000" w:themeColor="text1"/>
                <w:sz w:val="24"/>
                <w:szCs w:val="24"/>
                <w:highlight w:val="none"/>
                <w14:textFill>
                  <w14:solidFill>
                    <w14:schemeClr w14:val="tx1"/>
                  </w14:solidFill>
                </w14:textFill>
              </w:rPr>
              <w:t>检查</w:t>
            </w:r>
          </w:p>
        </w:tc>
        <w:tc>
          <w:tcPr>
            <w:tcW w:w="4009" w:type="dxa"/>
            <w:noWrap w:val="0"/>
            <w:vAlign w:val="center"/>
          </w:tcPr>
          <w:p w14:paraId="11613CC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1.《湖南省饮用水水源保护条例》（2023年修正）</w:t>
            </w:r>
          </w:p>
          <w:p w14:paraId="3E935BB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第三十二条　县级以上人民政府生态环境主管部门应当会同有关部门加强对饮用水水源保护区及有关流域、区域内污染物排放情况的监督检查，定期开展安全隐患排查，发现饮用水水源受到污染或者可能受到污染的，应当根据相应情况及时制止和查处。</w:t>
            </w:r>
          </w:p>
          <w:p w14:paraId="4112F2F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饮用水水源水质达不到国家规定水质标准的，县级以上人民政府可以对有关区域的排污单位依法采取停产、限产等措施，减少污染物排放，确保饮用水安全。</w:t>
            </w:r>
          </w:p>
          <w:p w14:paraId="669737C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对饮用水水源保护区和准保护区内不能确定责任人的污染源，由所在地县级人民政府组织有关部门和单位予以治理。</w:t>
            </w:r>
          </w:p>
        </w:tc>
        <w:tc>
          <w:tcPr>
            <w:tcW w:w="1573" w:type="dxa"/>
            <w:noWrap w:val="0"/>
            <w:vAlign w:val="center"/>
          </w:tcPr>
          <w:p w14:paraId="4A2A0BC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76DB89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省生态环境厅水生态环境处、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2F7A814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饮用水水源保护区及有关流域、区域内污染物排放企业</w:t>
            </w:r>
          </w:p>
        </w:tc>
        <w:tc>
          <w:tcPr>
            <w:tcW w:w="1370" w:type="dxa"/>
            <w:noWrap w:val="0"/>
            <w:vAlign w:val="center"/>
          </w:tcPr>
          <w:p w14:paraId="6DC00CF3">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1.污染源整治的监督检查</w:t>
            </w:r>
          </w:p>
          <w:p w14:paraId="1809CE53">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2.规范化建设的监督检查</w:t>
            </w:r>
          </w:p>
          <w:p w14:paraId="699F40B2">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3.水质达标的监督检查</w:t>
            </w:r>
          </w:p>
        </w:tc>
        <w:tc>
          <w:tcPr>
            <w:tcW w:w="898" w:type="dxa"/>
            <w:noWrap w:val="0"/>
            <w:vAlign w:val="center"/>
          </w:tcPr>
          <w:p w14:paraId="431C279B">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7F0C6BD5">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7BF525D5">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0DDE6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8" w:hRule="atLeast"/>
          <w:jc w:val="center"/>
        </w:trPr>
        <w:tc>
          <w:tcPr>
            <w:tcW w:w="788" w:type="dxa"/>
            <w:noWrap w:val="0"/>
            <w:vAlign w:val="center"/>
          </w:tcPr>
          <w:p w14:paraId="1AE002B8">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9</w:t>
            </w:r>
          </w:p>
        </w:tc>
        <w:tc>
          <w:tcPr>
            <w:tcW w:w="1723" w:type="dxa"/>
            <w:noWrap w:val="0"/>
            <w:vAlign w:val="center"/>
          </w:tcPr>
          <w:p w14:paraId="38A9CE18">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对长江流域各类保护、开发、建设活动</w:t>
            </w:r>
            <w:r>
              <w:rPr>
                <w:rFonts w:hint="eastAsia" w:ascii="仿宋" w:hAnsi="仿宋" w:eastAsia="仿宋" w:cs="仿宋"/>
                <w:color w:val="000000" w:themeColor="text1"/>
                <w:sz w:val="24"/>
                <w:szCs w:val="24"/>
                <w:highlight w:val="none"/>
                <w:lang w:val="en-US" w:eastAsia="zh-CN"/>
                <w14:textFill>
                  <w14:solidFill>
                    <w14:schemeClr w14:val="tx1"/>
                  </w14:solidFill>
                </w14:textFill>
              </w:rPr>
              <w:t>的</w:t>
            </w:r>
            <w:r>
              <w:rPr>
                <w:rFonts w:hint="eastAsia" w:ascii="仿宋" w:hAnsi="仿宋" w:eastAsia="仿宋" w:cs="仿宋"/>
                <w:color w:val="000000" w:themeColor="text1"/>
                <w:sz w:val="24"/>
                <w:szCs w:val="24"/>
                <w:highlight w:val="none"/>
                <w14:textFill>
                  <w14:solidFill>
                    <w14:schemeClr w14:val="tx1"/>
                  </w14:solidFill>
                </w14:textFill>
              </w:rPr>
              <w:t>行政检查</w:t>
            </w:r>
          </w:p>
        </w:tc>
        <w:tc>
          <w:tcPr>
            <w:tcW w:w="4009" w:type="dxa"/>
            <w:noWrap w:val="0"/>
            <w:vAlign w:val="center"/>
          </w:tcPr>
          <w:p w14:paraId="6F6494F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1.《中华人民共和国长江保护法》（2021年3月1日施行）</w:t>
            </w:r>
          </w:p>
          <w:p w14:paraId="4867200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第七十九条第一款 国务院有关部门和长江流域县级以上地方人民政府有关部门应当依照本法规定和职责分工，对长江流域各类保护、开发、建设活动进行监督检查，依法查处破坏长江流域自然资源、污染长江流域环境、损害长江流域生态系统等违法行为。</w:t>
            </w:r>
          </w:p>
          <w:p w14:paraId="4795169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2.《湖南省洞庭湖保护条例》（2021年9月1日起施行）</w:t>
            </w:r>
          </w:p>
          <w:p w14:paraId="4BE0FC2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第七条　</w:t>
            </w:r>
            <w:bookmarkStart w:id="0" w:name="No26_Z1T7K1"/>
            <w:bookmarkEnd w:id="0"/>
            <w:r>
              <w:rPr>
                <w:rFonts w:hint="eastAsia" w:ascii="仿宋" w:hAnsi="仿宋" w:eastAsia="仿宋" w:cs="仿宋"/>
                <w:color w:val="000000" w:themeColor="text1"/>
                <w:kern w:val="2"/>
                <w:sz w:val="24"/>
                <w:szCs w:val="24"/>
                <w:lang w:val="en-US" w:eastAsia="zh-CN" w:bidi="ar"/>
                <w14:textFill>
                  <w14:solidFill>
                    <w14:schemeClr w14:val="tx1"/>
                  </w14:solidFill>
                </w14:textFill>
              </w:rPr>
              <w:t>省人民政府自然资源、生态环境、水行政、农业农村、交通运输、林业、市场监督管理等部门建立洞庭湖生态环境保护联合执法机制，对湖区跨行政区域、生态敏感区域和生态环境违法案件高发区域以及重大违法案件等实施联合执法。</w:t>
            </w:r>
          </w:p>
        </w:tc>
        <w:tc>
          <w:tcPr>
            <w:tcW w:w="1573" w:type="dxa"/>
            <w:noWrap w:val="0"/>
            <w:vAlign w:val="center"/>
          </w:tcPr>
          <w:p w14:paraId="0965628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2EC44C0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省生态环境厅水生态环境处、生态环境执法局；各市（州）生态环境局及分局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5A8D69CF">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长江流域各类保护、开发、建设活动的企业</w:t>
            </w:r>
          </w:p>
        </w:tc>
        <w:tc>
          <w:tcPr>
            <w:tcW w:w="1370" w:type="dxa"/>
            <w:noWrap w:val="0"/>
            <w:vAlign w:val="center"/>
          </w:tcPr>
          <w:p w14:paraId="327FBC2F">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 w:eastAsia="zh-CN" w:bidi="ar-SA"/>
                <w14:textFill>
                  <w14:solidFill>
                    <w14:schemeClr w14:val="tx1"/>
                  </w14:solidFill>
                </w14:textFill>
              </w:rPr>
              <w:t>1、</w:t>
            </w: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污染长江流域环境的监督检查    2、损害长江流域生态系统的检查</w:t>
            </w:r>
          </w:p>
        </w:tc>
        <w:tc>
          <w:tcPr>
            <w:tcW w:w="898" w:type="dxa"/>
            <w:noWrap w:val="0"/>
            <w:vAlign w:val="center"/>
          </w:tcPr>
          <w:p w14:paraId="63BABFEA">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7A68A3AC">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6EEBB022">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4DC5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7" w:hRule="atLeast"/>
          <w:jc w:val="center"/>
        </w:trPr>
        <w:tc>
          <w:tcPr>
            <w:tcW w:w="788" w:type="dxa"/>
            <w:noWrap w:val="0"/>
            <w:vAlign w:val="center"/>
          </w:tcPr>
          <w:p w14:paraId="142C3E03">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10</w:t>
            </w:r>
          </w:p>
        </w:tc>
        <w:tc>
          <w:tcPr>
            <w:tcW w:w="1723" w:type="dxa"/>
            <w:noWrap w:val="0"/>
            <w:vAlign w:val="center"/>
          </w:tcPr>
          <w:p w14:paraId="1B755804">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对排放大气污染物的企业事业单位和其他生产经营者</w:t>
            </w:r>
            <w:r>
              <w:rPr>
                <w:rFonts w:hint="eastAsia" w:ascii="仿宋" w:hAnsi="仿宋" w:eastAsia="仿宋" w:cs="仿宋"/>
                <w:color w:val="000000" w:themeColor="text1"/>
                <w:sz w:val="24"/>
                <w:szCs w:val="24"/>
                <w:highlight w:val="none"/>
                <w:lang w:eastAsia="zh-CN"/>
                <w14:textFill>
                  <w14:solidFill>
                    <w14:schemeClr w14:val="tx1"/>
                  </w14:solidFill>
                </w14:textFill>
              </w:rPr>
              <w:t>的行政检查</w:t>
            </w:r>
          </w:p>
        </w:tc>
        <w:tc>
          <w:tcPr>
            <w:tcW w:w="4009" w:type="dxa"/>
            <w:noWrap w:val="0"/>
            <w:vAlign w:val="center"/>
          </w:tcPr>
          <w:p w14:paraId="7D01164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1.《中华人民共和国环境保护法》（2014年修订）</w:t>
            </w:r>
          </w:p>
          <w:p w14:paraId="0D1C7BF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14:paraId="5295E3B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2.《中华人民共和国大气污染防治法》（2018年修正）</w:t>
            </w:r>
          </w:p>
          <w:p w14:paraId="5AD4A17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第二十九条 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p w14:paraId="49F6472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3.《湖南省环境保护条例》（2024年修正）</w:t>
            </w:r>
          </w:p>
          <w:p w14:paraId="22EC142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一条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14:paraId="29CECA2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被检查者应当配合检查，如实反映情况，提供必要的资料。</w:t>
            </w:r>
          </w:p>
          <w:p w14:paraId="2B10061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4.《湖南省大气污染防治条例》（2020年修正）</w:t>
            </w:r>
          </w:p>
          <w:p w14:paraId="4A331FA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第三十五条　县级以上人民政府生态环境主管部门及其委托的环境监察机构和其他负有大气环境保护监督管理职责的主管部门，应当加强对排污单位排放大气污染物情况的监督检查，将监督检查结果作为环境信用管理、排污许可管理、建设项目环保审批等环境管理的重要依据，并向社会公布。</w:t>
            </w:r>
          </w:p>
          <w:p w14:paraId="6FAB8F0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5.《湖南省重污染天气防治若干规定》（2024年1月1日施行）</w:t>
            </w:r>
          </w:p>
          <w:p w14:paraId="61D4793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第一条第二款 县级以上人民政府生态环境主管部门对重污染天气防治实施统一监督管理，县级以上人民政府其他有关部门在各自职责范围内对重污染天气防治实施监督管理。</w:t>
            </w:r>
          </w:p>
          <w:p w14:paraId="3D58ED7A">
            <w:pPr>
              <w:keepNext w:val="0"/>
              <w:keepLines w:val="0"/>
              <w:widowControl w:val="0"/>
              <w:numPr>
                <w:ilvl w:val="0"/>
                <w:numId w:val="1"/>
              </w:numPr>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《湖南省秸秆综合利用若干规定》（2025年3月1日起施行）</w:t>
            </w:r>
          </w:p>
          <w:p w14:paraId="56A7C911">
            <w:pPr>
              <w:keepNext w:val="0"/>
              <w:keepLines w:val="0"/>
              <w:widowControl w:val="0"/>
              <w:numPr>
                <w:ilvl w:val="0"/>
                <w:numId w:val="0"/>
              </w:numPr>
              <w:suppressLineNumbers w:val="0"/>
              <w:spacing w:before="0" w:beforeLines="0" w:beforeAutospacing="0" w:after="0" w:afterLines="0" w:afterAutospacing="0"/>
              <w:ind w:leftChars="0" w:right="0" w:right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第三条第三款 县级以上人民政府农业农村主管部门负责本行政区域内秸秆综合利用的指导和监督管理工作，生态环境主管部门负责本行政区域内露天焚烧秸秆的指导和监督管理工作。</w:t>
            </w:r>
          </w:p>
        </w:tc>
        <w:tc>
          <w:tcPr>
            <w:tcW w:w="1573" w:type="dxa"/>
            <w:noWrap w:val="0"/>
            <w:vAlign w:val="center"/>
          </w:tcPr>
          <w:p w14:paraId="7B71210B">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F6C970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7844099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排放大气污染物的企业和其他生产经营者</w:t>
            </w:r>
          </w:p>
        </w:tc>
        <w:tc>
          <w:tcPr>
            <w:tcW w:w="1370" w:type="dxa"/>
            <w:noWrap w:val="0"/>
            <w:vAlign w:val="center"/>
          </w:tcPr>
          <w:p w14:paraId="6E7B58DE">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相关法律法规和排污许可规定事项监督检查</w:t>
            </w:r>
          </w:p>
        </w:tc>
        <w:tc>
          <w:tcPr>
            <w:tcW w:w="898" w:type="dxa"/>
            <w:noWrap w:val="0"/>
            <w:vAlign w:val="center"/>
          </w:tcPr>
          <w:p w14:paraId="3EF7F26E">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799102D9">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2E28BC66">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0CFA5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788" w:type="dxa"/>
            <w:noWrap w:val="0"/>
            <w:vAlign w:val="center"/>
          </w:tcPr>
          <w:p w14:paraId="335476D7">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11</w:t>
            </w:r>
          </w:p>
        </w:tc>
        <w:tc>
          <w:tcPr>
            <w:tcW w:w="1723" w:type="dxa"/>
            <w:noWrap w:val="0"/>
            <w:vAlign w:val="center"/>
          </w:tcPr>
          <w:p w14:paraId="66F1CA92">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对排放噪声的单位或者场所的行政检查</w:t>
            </w:r>
          </w:p>
        </w:tc>
        <w:tc>
          <w:tcPr>
            <w:tcW w:w="4009" w:type="dxa"/>
            <w:noWrap w:val="0"/>
            <w:vAlign w:val="center"/>
          </w:tcPr>
          <w:p w14:paraId="4D46A57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1.《中华人民共和国环境保护法》（2014年修订）</w:t>
            </w:r>
          </w:p>
          <w:p w14:paraId="451D968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14:paraId="325DF01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2.《中华人民共和国噪声污染防治法》（2022年6月5日施行）</w:t>
            </w:r>
          </w:p>
          <w:p w14:paraId="25F4CFC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第二十九条 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p w14:paraId="6B2F959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3.《湖南省环境保护条例》（2024年修正）</w:t>
            </w:r>
          </w:p>
          <w:p w14:paraId="2F970A3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一条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14:paraId="62A8577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被检查者应当配合检查，如实反映情况，提供必要的资料。</w:t>
            </w:r>
          </w:p>
        </w:tc>
        <w:tc>
          <w:tcPr>
            <w:tcW w:w="1573" w:type="dxa"/>
            <w:noWrap w:val="0"/>
            <w:vAlign w:val="center"/>
          </w:tcPr>
          <w:p w14:paraId="1474A26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3D324B2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542D829D">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vertAlign w:val="baseline"/>
                <w:lang w:val="en-US"/>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排放噪声的企业和其他经营者</w:t>
            </w:r>
          </w:p>
        </w:tc>
        <w:tc>
          <w:tcPr>
            <w:tcW w:w="1370" w:type="dxa"/>
            <w:noWrap w:val="0"/>
            <w:vAlign w:val="center"/>
          </w:tcPr>
          <w:p w14:paraId="102A1436">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1.是否按要求将噪声污染防治纳入排污许可的监督检查</w:t>
            </w:r>
          </w:p>
          <w:p w14:paraId="5D086CE7">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2.提供噪声排放限值及自行检测要求的监测报告等</w:t>
            </w:r>
          </w:p>
        </w:tc>
        <w:tc>
          <w:tcPr>
            <w:tcW w:w="898" w:type="dxa"/>
            <w:noWrap w:val="0"/>
            <w:vAlign w:val="center"/>
          </w:tcPr>
          <w:p w14:paraId="33D3E57C">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22FBED34">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41C76019">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C992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dxa"/>
            <w:noWrap w:val="0"/>
            <w:vAlign w:val="center"/>
          </w:tcPr>
          <w:p w14:paraId="56D13DEA">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12</w:t>
            </w:r>
          </w:p>
        </w:tc>
        <w:tc>
          <w:tcPr>
            <w:tcW w:w="1723" w:type="dxa"/>
            <w:noWrap w:val="0"/>
            <w:vAlign w:val="center"/>
          </w:tcPr>
          <w:p w14:paraId="4AE9F9E6">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对新生产、销售机动车和非道路移动机械大气污染物排放状况的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6BF7CC6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1.《中华人民共和国大气污染防治法》（2018年修正）</w:t>
            </w:r>
          </w:p>
          <w:p w14:paraId="4FF7F2C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第五十二条 机动车、非道路移动机械生产企业应当对新生产的机动车和非道路移动机械进行排放检验。经检验合格的，方可出厂销售。检验信息应当向社会公开。</w:t>
            </w:r>
          </w:p>
          <w:p w14:paraId="0FC1DB2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省级以上人民政府生态环境主管部门可以通过现场检查、抽样检测等方式，加强对新生产、销售机动车和非道路移动机械大气污染物排放状况的监督检查。工业、市场监督管理等有关部门予以配合。</w:t>
            </w:r>
          </w:p>
        </w:tc>
        <w:tc>
          <w:tcPr>
            <w:tcW w:w="1573" w:type="dxa"/>
            <w:noWrap w:val="0"/>
            <w:vAlign w:val="center"/>
          </w:tcPr>
          <w:p w14:paraId="61D461DF">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w:t>
            </w:r>
          </w:p>
        </w:tc>
        <w:tc>
          <w:tcPr>
            <w:tcW w:w="1599" w:type="dxa"/>
            <w:noWrap w:val="0"/>
            <w:vAlign w:val="center"/>
          </w:tcPr>
          <w:p w14:paraId="2453934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p>
        </w:tc>
        <w:tc>
          <w:tcPr>
            <w:tcW w:w="1246" w:type="dxa"/>
            <w:noWrap w:val="0"/>
            <w:vAlign w:val="center"/>
          </w:tcPr>
          <w:p w14:paraId="786F1DC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机动车和非道路移动机械生产和销售企业</w:t>
            </w:r>
          </w:p>
        </w:tc>
        <w:tc>
          <w:tcPr>
            <w:tcW w:w="1370" w:type="dxa"/>
            <w:noWrap w:val="0"/>
            <w:vAlign w:val="center"/>
          </w:tcPr>
          <w:p w14:paraId="6A27D363">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1.核查环保信息公开内容与实车是否一致和属实</w:t>
            </w:r>
          </w:p>
          <w:p w14:paraId="776357D6">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2.排放关键部件的一致性核查和车辆排放性能道路试验以及排气污染物排放试验</w:t>
            </w:r>
          </w:p>
          <w:p w14:paraId="0A027508">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3.是否严格实施排放标准、是否按规定进行环保信息公开、是否按要求开展一致性自查等</w:t>
            </w:r>
          </w:p>
        </w:tc>
        <w:tc>
          <w:tcPr>
            <w:tcW w:w="898" w:type="dxa"/>
            <w:noWrap w:val="0"/>
            <w:vAlign w:val="center"/>
          </w:tcPr>
          <w:p w14:paraId="340BD4F3">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w:t>
            </w:r>
          </w:p>
        </w:tc>
        <w:tc>
          <w:tcPr>
            <w:tcW w:w="1386" w:type="dxa"/>
            <w:noWrap w:val="0"/>
            <w:vAlign w:val="center"/>
          </w:tcPr>
          <w:p w14:paraId="3EE005A8">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5CEEEA17">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4F74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0C940AAB">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13</w:t>
            </w:r>
          </w:p>
        </w:tc>
        <w:tc>
          <w:tcPr>
            <w:tcW w:w="1723" w:type="dxa"/>
            <w:noWrap w:val="0"/>
            <w:vAlign w:val="center"/>
          </w:tcPr>
          <w:p w14:paraId="02405705">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对机动车排放检验机构的排放检验情况的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779FA9D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1.《中华人民共和国大气污染防治法》（2018年修正）</w:t>
            </w:r>
          </w:p>
          <w:p w14:paraId="71F820F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第五十四条　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p>
          <w:p w14:paraId="5577E52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生态环境主管部门和认证认可监督管理部门应当对机动车排放检验机构的排放检验情况进行监督检查。</w:t>
            </w:r>
          </w:p>
        </w:tc>
        <w:tc>
          <w:tcPr>
            <w:tcW w:w="1573" w:type="dxa"/>
            <w:noWrap w:val="0"/>
            <w:vAlign w:val="center"/>
          </w:tcPr>
          <w:p w14:paraId="6DA1513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03719D8B">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0840553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机动车排放检验机构（</w:t>
            </w:r>
            <w:r>
              <w:rPr>
                <w:rFonts w:hint="eastAsia" w:ascii="仿宋" w:hAnsi="仿宋" w:eastAsia="仿宋" w:cs="仿宋"/>
                <w:color w:val="000000" w:themeColor="text1"/>
                <w:sz w:val="24"/>
                <w:szCs w:val="24"/>
                <w:highlight w:val="none"/>
                <w:lang w:val="en-US" w:eastAsia="zh-CN"/>
                <w14:textFill>
                  <w14:solidFill>
                    <w14:schemeClr w14:val="tx1"/>
                  </w14:solidFill>
                </w14:textFill>
              </w:rPr>
              <w:t>经营主体</w:t>
            </w:r>
            <w:r>
              <w:rPr>
                <w:rFonts w:hint="eastAsia" w:ascii="仿宋" w:hAnsi="仿宋" w:eastAsia="仿宋" w:cs="仿宋"/>
                <w:color w:val="000000" w:themeColor="text1"/>
                <w:sz w:val="24"/>
                <w:szCs w:val="24"/>
                <w:highlight w:val="none"/>
                <w:lang w:eastAsia="zh-CN"/>
                <w14:textFill>
                  <w14:solidFill>
                    <w14:schemeClr w14:val="tx1"/>
                  </w14:solidFill>
                </w14:textFill>
              </w:rPr>
              <w:t>）</w:t>
            </w:r>
          </w:p>
        </w:tc>
        <w:tc>
          <w:tcPr>
            <w:tcW w:w="1370" w:type="dxa"/>
            <w:noWrap w:val="0"/>
            <w:vAlign w:val="center"/>
          </w:tcPr>
          <w:p w14:paraId="35F544A9">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对是否未经检验(监测)直接出具检验(监测)数据和结果的监督检查</w:t>
            </w:r>
          </w:p>
          <w:p w14:paraId="3CEB03DF">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对是否篡改、伪造、编造原始数据出具检验(监测)数据和结果的监督检查</w:t>
            </w:r>
          </w:p>
          <w:p w14:paraId="0873DD7F">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对检验(监测)结果是否与原始数据不一致且无法溯源的监督检查</w:t>
            </w:r>
          </w:p>
          <w:p w14:paraId="27A3E9DA">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对是否出具虚假数据、结果或报告，是否严格执行国家、省相关规范的监督检查</w:t>
            </w:r>
          </w:p>
        </w:tc>
        <w:tc>
          <w:tcPr>
            <w:tcW w:w="898" w:type="dxa"/>
            <w:noWrap w:val="0"/>
            <w:vAlign w:val="center"/>
          </w:tcPr>
          <w:p w14:paraId="303B114B">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46B4461F">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按我厅每年3月底前报经省司法厅备案审查的涉企年度行政检查计划执行</w:t>
            </w:r>
          </w:p>
        </w:tc>
        <w:tc>
          <w:tcPr>
            <w:tcW w:w="1406" w:type="dxa"/>
            <w:noWrap w:val="0"/>
            <w:vAlign w:val="center"/>
          </w:tcPr>
          <w:p w14:paraId="6F618480">
            <w:pPr>
              <w:keepNext w:val="0"/>
              <w:keepLines w:val="0"/>
              <w:pageBreakBefore w:val="0"/>
              <w:widowControl w:val="0"/>
              <w:kinsoku/>
              <w:wordWrap/>
              <w:autoSpaceDE/>
              <w:autoSpaceDN/>
              <w:bidi w:val="0"/>
              <w:adjustRightInd w:val="0"/>
              <w:snapToGrid w:val="0"/>
              <w:spacing w:line="32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0171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6767444E">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14</w:t>
            </w:r>
          </w:p>
        </w:tc>
        <w:tc>
          <w:tcPr>
            <w:tcW w:w="1723" w:type="dxa"/>
            <w:noWrap w:val="0"/>
            <w:vAlign w:val="center"/>
          </w:tcPr>
          <w:p w14:paraId="4B706A10">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对机动车维修单位维修情况的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123A84C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1.《中华人民共和国大气污染防治法》（2018年修正）</w:t>
            </w:r>
          </w:p>
          <w:p w14:paraId="6F9AD4A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第五十五条 机动车生产、进口企业应当向社会公布其生产、进口机动车车型的排放检验信息、污染控制技术信息和有关维修技术信息。</w:t>
            </w:r>
          </w:p>
          <w:p w14:paraId="4598CCB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机动车维修单位应当按照防治大气污染的要求和国家有关技术规范对在用机动车进行维修，使其达到规定的排放标准。交通运输、生态环境主管部门应当依法加强监督管理。</w:t>
            </w:r>
          </w:p>
          <w:p w14:paraId="560486A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禁止机动车所有人以临时更换机动车污染控制装置等弄虚作假的方式通过机动车排放检验。禁止机动车维修单位提供该类维修服务。禁止破坏机动车车载排放诊断系统。</w:t>
            </w:r>
          </w:p>
        </w:tc>
        <w:tc>
          <w:tcPr>
            <w:tcW w:w="1573" w:type="dxa"/>
            <w:noWrap w:val="0"/>
            <w:vAlign w:val="center"/>
          </w:tcPr>
          <w:p w14:paraId="71C29BA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1F7787F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省生态环境厅大气环境与应对气候变化处、生态环境执法局；各市（州）生态环境局及分局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2C71B69F">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机动车维修</w:t>
            </w:r>
            <w:r>
              <w:rPr>
                <w:rFonts w:hint="eastAsia" w:ascii="仿宋" w:hAnsi="仿宋" w:eastAsia="仿宋" w:cs="仿宋"/>
                <w:color w:val="000000" w:themeColor="text1"/>
                <w:sz w:val="24"/>
                <w:szCs w:val="24"/>
                <w:highlight w:val="none"/>
                <w:lang w:val="en-US" w:eastAsia="zh-CN"/>
                <w14:textFill>
                  <w14:solidFill>
                    <w14:schemeClr w14:val="tx1"/>
                  </w14:solidFill>
                </w14:textFill>
              </w:rPr>
              <w:t>企业</w:t>
            </w:r>
          </w:p>
        </w:tc>
        <w:tc>
          <w:tcPr>
            <w:tcW w:w="1370" w:type="dxa"/>
            <w:noWrap w:val="0"/>
            <w:vAlign w:val="center"/>
          </w:tcPr>
          <w:p w14:paraId="317AF64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是否按照大气污染防治的要求和国家有关技术规范对在用机动车进行维修，使其达到规定的排放标准</w:t>
            </w:r>
          </w:p>
        </w:tc>
        <w:tc>
          <w:tcPr>
            <w:tcW w:w="898" w:type="dxa"/>
            <w:noWrap w:val="0"/>
            <w:vAlign w:val="center"/>
          </w:tcPr>
          <w:p w14:paraId="28321E7F">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79BBA8B2">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按各市（州）生态环境局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报经同级司法行政部门备案审查的涉企年度行政检查计划执行</w:t>
            </w:r>
          </w:p>
        </w:tc>
        <w:tc>
          <w:tcPr>
            <w:tcW w:w="1406" w:type="dxa"/>
            <w:noWrap w:val="0"/>
            <w:vAlign w:val="center"/>
          </w:tcPr>
          <w:p w14:paraId="4799D616">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BDF3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1" w:hRule="atLeast"/>
          <w:jc w:val="center"/>
        </w:trPr>
        <w:tc>
          <w:tcPr>
            <w:tcW w:w="788" w:type="dxa"/>
            <w:noWrap w:val="0"/>
            <w:vAlign w:val="center"/>
          </w:tcPr>
          <w:p w14:paraId="7E4CC31C">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15</w:t>
            </w:r>
          </w:p>
        </w:tc>
        <w:tc>
          <w:tcPr>
            <w:tcW w:w="1723" w:type="dxa"/>
            <w:noWrap w:val="0"/>
            <w:vAlign w:val="center"/>
          </w:tcPr>
          <w:p w14:paraId="2ACFE21D">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对非道路移动机械的大气污染物排放状况的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4FB8384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1.《中华人民共和国大气污染防治法》（2018年修正）</w:t>
            </w:r>
          </w:p>
          <w:p w14:paraId="157F341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第五十六条 生态环境主管部门应当会同交通运输、住房城乡建设、农业行政、水行政等有关部门对非道路移动机械的大气污染物排放状况进行监督检查，排放不合格的，不得使用。</w:t>
            </w:r>
          </w:p>
          <w:p w14:paraId="75B2342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2.《湖南省大气污染防治条例》（2020年修正）</w:t>
            </w:r>
          </w:p>
          <w:p w14:paraId="620AEB9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第三条第一款 县级以上人民政府生态环境主管部门对大气污染防治实施统一监督管理。</w:t>
            </w:r>
          </w:p>
          <w:p w14:paraId="54BCC76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第二十一条 鼓励、支持节能环保型非道路移动机械的推广使用，逐步淘汰高油耗、高排放的非道路移动机械。县级以上人民政府交通运输、住房和城乡建设、农业农村、林业、水利等主管部门按照各自职责对非道路移动机械大气污染物排放实施监督管理。</w:t>
            </w:r>
          </w:p>
        </w:tc>
        <w:tc>
          <w:tcPr>
            <w:tcW w:w="1573" w:type="dxa"/>
            <w:noWrap w:val="0"/>
            <w:vAlign w:val="center"/>
          </w:tcPr>
          <w:p w14:paraId="68E5F26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5FCF3C3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0C31123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在用非道路移动机械</w:t>
            </w:r>
          </w:p>
        </w:tc>
        <w:tc>
          <w:tcPr>
            <w:tcW w:w="1370" w:type="dxa"/>
            <w:noWrap w:val="0"/>
            <w:vAlign w:val="center"/>
          </w:tcPr>
          <w:p w14:paraId="627A8B7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对在用非道路移动机械的大气污染物排放状况进行监督检查，排放不合格的，不得使用</w:t>
            </w:r>
          </w:p>
        </w:tc>
        <w:tc>
          <w:tcPr>
            <w:tcW w:w="898" w:type="dxa"/>
            <w:noWrap w:val="0"/>
            <w:vAlign w:val="center"/>
          </w:tcPr>
          <w:p w14:paraId="0EB8D78E">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w:t>
            </w:r>
          </w:p>
        </w:tc>
        <w:tc>
          <w:tcPr>
            <w:tcW w:w="1386" w:type="dxa"/>
            <w:noWrap w:val="0"/>
            <w:vAlign w:val="center"/>
          </w:tcPr>
          <w:p w14:paraId="56E2183D">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632EA73B">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3E960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43405C53">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16</w:t>
            </w:r>
          </w:p>
        </w:tc>
        <w:tc>
          <w:tcPr>
            <w:tcW w:w="1723" w:type="dxa"/>
            <w:noWrap w:val="0"/>
            <w:vAlign w:val="center"/>
          </w:tcPr>
          <w:p w14:paraId="54840A07">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对在用机动车</w:t>
            </w:r>
            <w:r>
              <w:rPr>
                <w:rFonts w:hint="eastAsia" w:ascii="仿宋" w:hAnsi="仿宋" w:eastAsia="仿宋" w:cs="仿宋"/>
                <w:color w:val="000000" w:themeColor="text1"/>
                <w:sz w:val="24"/>
                <w:szCs w:val="24"/>
                <w:highlight w:val="none"/>
                <w:lang w:val="en-US" w:eastAsia="zh-CN"/>
                <w14:textFill>
                  <w14:solidFill>
                    <w14:schemeClr w14:val="tx1"/>
                  </w14:solidFill>
                </w14:textFill>
              </w:rPr>
              <w:t>大气</w:t>
            </w:r>
            <w:r>
              <w:rPr>
                <w:rFonts w:hint="eastAsia" w:ascii="仿宋" w:hAnsi="仿宋" w:eastAsia="仿宋" w:cs="仿宋"/>
                <w:color w:val="000000" w:themeColor="text1"/>
                <w:sz w:val="24"/>
                <w:szCs w:val="24"/>
                <w:highlight w:val="none"/>
                <w14:textFill>
                  <w14:solidFill>
                    <w14:schemeClr w14:val="tx1"/>
                  </w14:solidFill>
                </w14:textFill>
              </w:rPr>
              <w:t>污染物排放状况的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752A26E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1.《中华人民共和国大气污染防治法》（2018年修正）</w:t>
            </w:r>
          </w:p>
          <w:p w14:paraId="3BC6F48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第五十三条第二款 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p>
          <w:p w14:paraId="04AA646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2.《湖南省重污染天气防治若干规定》（2024年1月1日施行）</w:t>
            </w:r>
          </w:p>
          <w:p w14:paraId="7A3F248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第八条第二款　县级以上人民政府生态环境主管部门可以会同公安机关交通管理部门，在不影响正常通行的情况下，通过遥感监测等技术手段对在道路上行驶的机动车的污染物排放情况进行监督抽测。</w:t>
            </w:r>
          </w:p>
        </w:tc>
        <w:tc>
          <w:tcPr>
            <w:tcW w:w="1573" w:type="dxa"/>
            <w:noWrap w:val="0"/>
            <w:vAlign w:val="center"/>
          </w:tcPr>
          <w:p w14:paraId="7BB2FB4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1F59757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581C3C1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在用机动车</w:t>
            </w:r>
          </w:p>
        </w:tc>
        <w:tc>
          <w:tcPr>
            <w:tcW w:w="1370" w:type="dxa"/>
            <w:noWrap w:val="0"/>
            <w:vAlign w:val="center"/>
          </w:tcPr>
          <w:p w14:paraId="731D8C2F">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重点检查重型柴油货车OBD屏蔽、刷机、尾气后处理装置簒改、不规范使用尿素以及尾气抽测等</w:t>
            </w:r>
          </w:p>
        </w:tc>
        <w:tc>
          <w:tcPr>
            <w:tcW w:w="898" w:type="dxa"/>
            <w:noWrap w:val="0"/>
            <w:vAlign w:val="center"/>
          </w:tcPr>
          <w:p w14:paraId="7A9A45D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570FDE13">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413C96D6">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yellow"/>
                <w:lang w:val="en-US"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05B7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788" w:type="dxa"/>
            <w:noWrap w:val="0"/>
            <w:vAlign w:val="center"/>
          </w:tcPr>
          <w:p w14:paraId="5D6756D3">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17</w:t>
            </w:r>
          </w:p>
        </w:tc>
        <w:tc>
          <w:tcPr>
            <w:tcW w:w="1723" w:type="dxa"/>
            <w:noWrap w:val="0"/>
            <w:vAlign w:val="center"/>
          </w:tcPr>
          <w:p w14:paraId="67AC1729">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对重点排放单位等交易主体、技术服务机构的</w:t>
            </w:r>
            <w:r>
              <w:rPr>
                <w:rFonts w:hint="eastAsia" w:ascii="仿宋" w:hAnsi="仿宋" w:eastAsia="仿宋" w:cs="仿宋"/>
                <w:color w:val="000000" w:themeColor="text1"/>
                <w:sz w:val="24"/>
                <w:szCs w:val="24"/>
                <w:highlight w:val="none"/>
                <w:lang w:eastAsia="zh-CN"/>
                <w14:textFill>
                  <w14:solidFill>
                    <w14:schemeClr w14:val="tx1"/>
                  </w14:solidFill>
                </w14:textFill>
              </w:rPr>
              <w:t>行政</w:t>
            </w:r>
            <w:r>
              <w:rPr>
                <w:rFonts w:hint="eastAsia" w:ascii="仿宋" w:hAnsi="仿宋" w:eastAsia="仿宋" w:cs="仿宋"/>
                <w:color w:val="000000" w:themeColor="text1"/>
                <w:sz w:val="24"/>
                <w:szCs w:val="24"/>
                <w:highlight w:val="none"/>
                <w14:textFill>
                  <w14:solidFill>
                    <w14:schemeClr w14:val="tx1"/>
                  </w14:solidFill>
                </w14:textFill>
              </w:rPr>
              <w:t>检查</w:t>
            </w:r>
          </w:p>
        </w:tc>
        <w:tc>
          <w:tcPr>
            <w:tcW w:w="4009" w:type="dxa"/>
            <w:noWrap w:val="0"/>
            <w:vAlign w:val="center"/>
          </w:tcPr>
          <w:p w14:paraId="6ABA3F6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1.《碳排放权交易管理暂行条例》（2024年5月1日施行）</w:t>
            </w:r>
          </w:p>
          <w:p w14:paraId="3D4DE0F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第四条　国务院生态环境主管部门负责碳排放权交易及相关活动的监督管理工作。国务院有关部门按照职责分工，负责碳排放权交易及相关活动的有关监督管理工作。</w:t>
            </w:r>
          </w:p>
          <w:p w14:paraId="70D3D9E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地方人民政府生态环境主管部门负责本行政区域内碳排放权交易及相关活动的监督管理工作。地方人民政府有关部门按照职责分工，负责本行政区域内碳排放权交易及相关活动的有关监督管理工作。</w:t>
            </w:r>
          </w:p>
          <w:p w14:paraId="0294CC3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第十七条  生态环境主管部门和其他负有监督管理职责的部门，可以在各自职责范围内对重点排放单位等交易主体、技术服务机构进行现场检查。</w:t>
            </w:r>
          </w:p>
          <w:p w14:paraId="7BC3FA1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生态环境主管部门和其他负有监督管理职责的部门进行现场检查，可以采取查阅、复制相关资料，查询、检查相关信息系统等措施，并可以要求有关单位和个人就相关事项作出说明。被检查者应当如实反映情况、提供资料，不得拒绝、阻碍。</w:t>
            </w:r>
          </w:p>
          <w:p w14:paraId="4EE355A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进行现场检查，检查人员不得少于2人，并应当出示执法证件。检查人员对检查中知悉的国家秘密、商业秘密，依法负有保密义务。</w:t>
            </w:r>
          </w:p>
        </w:tc>
        <w:tc>
          <w:tcPr>
            <w:tcW w:w="1573" w:type="dxa"/>
            <w:noWrap w:val="0"/>
            <w:vAlign w:val="center"/>
          </w:tcPr>
          <w:p w14:paraId="2095901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69B43F2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省生态环境厅大气环境与应对气候变化处、生态环境执法局；各市（州）生态环境局及分局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6E9C3AB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重点排放单位等交易主体、技术服务机构（</w:t>
            </w:r>
            <w:r>
              <w:rPr>
                <w:rFonts w:hint="eastAsia" w:ascii="仿宋" w:hAnsi="仿宋" w:eastAsia="仿宋" w:cs="仿宋"/>
                <w:color w:val="000000" w:themeColor="text1"/>
                <w:sz w:val="24"/>
                <w:szCs w:val="24"/>
                <w:highlight w:val="none"/>
                <w:lang w:val="en-US" w:eastAsia="zh-CN"/>
                <w14:textFill>
                  <w14:solidFill>
                    <w14:schemeClr w14:val="tx1"/>
                  </w14:solidFill>
                </w14:textFill>
              </w:rPr>
              <w:t>企业</w:t>
            </w:r>
            <w:r>
              <w:rPr>
                <w:rFonts w:hint="eastAsia" w:ascii="仿宋" w:hAnsi="仿宋" w:eastAsia="仿宋" w:cs="仿宋"/>
                <w:color w:val="000000" w:themeColor="text1"/>
                <w:sz w:val="24"/>
                <w:szCs w:val="24"/>
                <w:highlight w:val="none"/>
                <w:lang w:eastAsia="zh-CN"/>
                <w14:textFill>
                  <w14:solidFill>
                    <w14:schemeClr w14:val="tx1"/>
                  </w14:solidFill>
                </w14:textFill>
              </w:rPr>
              <w:t>）</w:t>
            </w:r>
          </w:p>
        </w:tc>
        <w:tc>
          <w:tcPr>
            <w:tcW w:w="1370" w:type="dxa"/>
            <w:noWrap w:val="0"/>
            <w:vAlign w:val="center"/>
          </w:tcPr>
          <w:p w14:paraId="779EF8E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碳排放权交易及相关活动</w:t>
            </w:r>
          </w:p>
        </w:tc>
        <w:tc>
          <w:tcPr>
            <w:tcW w:w="898" w:type="dxa"/>
            <w:noWrap w:val="0"/>
            <w:vAlign w:val="center"/>
          </w:tcPr>
          <w:p w14:paraId="2B127371">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29144A25">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55861862">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687C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46E3F3AB">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18</w:t>
            </w:r>
          </w:p>
        </w:tc>
        <w:tc>
          <w:tcPr>
            <w:tcW w:w="1723" w:type="dxa"/>
            <w:noWrap w:val="0"/>
            <w:vAlign w:val="center"/>
          </w:tcPr>
          <w:p w14:paraId="206E677A">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对消耗臭氧层物质的生产、销售、使用和进出口等活动的</w:t>
            </w:r>
            <w:r>
              <w:rPr>
                <w:rFonts w:hint="eastAsia" w:ascii="仿宋" w:hAnsi="仿宋" w:eastAsia="仿宋" w:cs="仿宋"/>
                <w:color w:val="000000" w:themeColor="text1"/>
                <w:sz w:val="24"/>
                <w:szCs w:val="24"/>
                <w:highlight w:val="none"/>
                <w:lang w:eastAsia="zh-CN"/>
                <w14:textFill>
                  <w14:solidFill>
                    <w14:schemeClr w14:val="tx1"/>
                  </w14:solidFill>
                </w14:textFill>
              </w:rPr>
              <w:t>行政</w:t>
            </w:r>
            <w:r>
              <w:rPr>
                <w:rFonts w:hint="eastAsia" w:ascii="仿宋" w:hAnsi="仿宋" w:eastAsia="仿宋" w:cs="仿宋"/>
                <w:color w:val="000000" w:themeColor="text1"/>
                <w:sz w:val="24"/>
                <w:szCs w:val="24"/>
                <w:highlight w:val="none"/>
                <w14:textFill>
                  <w14:solidFill>
                    <w14:schemeClr w14:val="tx1"/>
                  </w14:solidFill>
                </w14:textFill>
              </w:rPr>
              <w:t>检查</w:t>
            </w:r>
          </w:p>
        </w:tc>
        <w:tc>
          <w:tcPr>
            <w:tcW w:w="4009" w:type="dxa"/>
            <w:noWrap w:val="0"/>
            <w:vAlign w:val="center"/>
          </w:tcPr>
          <w:p w14:paraId="5A54EB3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1.《消耗臭氧层物质管理条例》（2023年修订）</w:t>
            </w:r>
          </w:p>
          <w:p w14:paraId="175B4DE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生态环境主管部门和其他有关部门，依照本条例的规定和各自的职责对消耗臭氧层物质的生产、销售、使用和进出口等活动进行监督检查。</w:t>
            </w:r>
          </w:p>
          <w:p w14:paraId="3BDEE03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2.《消耗臭氧层物质进出口管理办法》（生态环境部 商务部 海关总署第38号，2025年修订）</w:t>
            </w:r>
          </w:p>
          <w:p w14:paraId="4661268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第十九条 生态环境主管部门、商务主管部门、海关等有关部门有权依法对进出口单位的消耗臭氧层物质进出口活动进行监督检查。被检查单位必须如实反映情况，提供必要资料，不得拒绝和阻碍。检查机关对监督检查中知悉的商业秘密负有保密义务。</w:t>
            </w:r>
          </w:p>
        </w:tc>
        <w:tc>
          <w:tcPr>
            <w:tcW w:w="1573" w:type="dxa"/>
            <w:noWrap w:val="0"/>
            <w:vAlign w:val="center"/>
          </w:tcPr>
          <w:p w14:paraId="1C34D10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6393EFB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39C08047">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消耗臭氧层物质的生产、销售、使用和进出口等的企业</w:t>
            </w:r>
          </w:p>
        </w:tc>
        <w:tc>
          <w:tcPr>
            <w:tcW w:w="1370" w:type="dxa"/>
            <w:noWrap w:val="0"/>
            <w:vAlign w:val="center"/>
          </w:tcPr>
          <w:p w14:paraId="7D2771A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消耗臭氧层物质的生产、销售、使用和进出口等活动</w:t>
            </w:r>
          </w:p>
        </w:tc>
        <w:tc>
          <w:tcPr>
            <w:tcW w:w="898" w:type="dxa"/>
            <w:noWrap w:val="0"/>
            <w:vAlign w:val="center"/>
          </w:tcPr>
          <w:p w14:paraId="6F9594CA">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6CA688FB">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6A395CB4">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6B4D4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jc w:val="center"/>
        </w:trPr>
        <w:tc>
          <w:tcPr>
            <w:tcW w:w="788" w:type="dxa"/>
            <w:noWrap w:val="0"/>
            <w:vAlign w:val="center"/>
          </w:tcPr>
          <w:p w14:paraId="30786A81">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19</w:t>
            </w:r>
          </w:p>
        </w:tc>
        <w:tc>
          <w:tcPr>
            <w:tcW w:w="1723" w:type="dxa"/>
            <w:noWrap w:val="0"/>
            <w:vAlign w:val="center"/>
          </w:tcPr>
          <w:p w14:paraId="3FB5FC51">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对已登记的温室气体自愿减排项目与核证自愿减排量的真实性、合规性的</w:t>
            </w:r>
            <w:r>
              <w:rPr>
                <w:rFonts w:hint="eastAsia" w:ascii="仿宋" w:hAnsi="仿宋" w:eastAsia="仿宋" w:cs="仿宋"/>
                <w:color w:val="000000" w:themeColor="text1"/>
                <w:sz w:val="24"/>
                <w:szCs w:val="24"/>
                <w:highlight w:val="none"/>
                <w:lang w:eastAsia="zh-CN"/>
                <w14:textFill>
                  <w14:solidFill>
                    <w14:schemeClr w14:val="tx1"/>
                  </w14:solidFill>
                </w14:textFill>
              </w:rPr>
              <w:t>行政</w:t>
            </w:r>
            <w:r>
              <w:rPr>
                <w:rFonts w:hint="eastAsia" w:ascii="仿宋" w:hAnsi="仿宋" w:eastAsia="仿宋" w:cs="仿宋"/>
                <w:color w:val="000000" w:themeColor="text1"/>
                <w:sz w:val="24"/>
                <w:szCs w:val="24"/>
                <w:highlight w:val="none"/>
                <w14:textFill>
                  <w14:solidFill>
                    <w14:schemeClr w14:val="tx1"/>
                  </w14:solidFill>
                </w14:textFill>
              </w:rPr>
              <w:t>检查</w:t>
            </w:r>
          </w:p>
        </w:tc>
        <w:tc>
          <w:tcPr>
            <w:tcW w:w="4009" w:type="dxa"/>
            <w:noWrap w:val="0"/>
            <w:vAlign w:val="center"/>
          </w:tcPr>
          <w:p w14:paraId="037B3AA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1.《温室气体自愿减排交易管理办法（试行）》（生态环境部 市场监管总局令第31号，2023年10月19日施行）</w:t>
            </w:r>
          </w:p>
          <w:p w14:paraId="76E3782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第五条 省级生态环境主管部门负责对本行政区域内温室气体自愿减排交易及相关活动进行监督管理。</w:t>
            </w:r>
          </w:p>
          <w:p w14:paraId="14880C5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设区的市级生态环境主管部门配合省级生态环境主管部门对本行政区域内温室气体自愿减排交易及相关活动实施监督管理。</w:t>
            </w:r>
          </w:p>
          <w:p w14:paraId="7970F11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市场监管部门、生态环境主管部门根据职责分工，对从事温室气体自愿减排项目审定与减排量核查的机构（以下简称审定与核查机构）及其审定与核查活动进行监督管理。</w:t>
            </w:r>
          </w:p>
          <w:p w14:paraId="0F9D589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第三十四条 生态环境部负责指导督促地方对温室气体自愿减排交易及相关活动开展监督检查，查处具有典型意义和重大社会影响的违法行为。</w:t>
            </w:r>
          </w:p>
          <w:p w14:paraId="05BD6F6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省级生态环境主管部门可以会同有关部门，对已登记的温室气体自愿减排项目与核证自愿减排量的真实性、合规性组织开展监督检查，受理对本行政区域内温室气体自愿减排项目提出的公众举报，查处违法行为。</w:t>
            </w:r>
          </w:p>
          <w:p w14:paraId="1BD7DFB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设区的市级生态环境主管部门按照省级生态环境主管部门的统一部署配合开展现场检查。</w:t>
            </w:r>
          </w:p>
          <w:p w14:paraId="1EF50FC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省级以上生态环境主管部门可以通过政府购买服务等方式，委托依法成立的技术服务机构提供监督检查方面的技术支撑。</w:t>
            </w:r>
          </w:p>
        </w:tc>
        <w:tc>
          <w:tcPr>
            <w:tcW w:w="1573" w:type="dxa"/>
            <w:noWrap w:val="0"/>
            <w:vAlign w:val="center"/>
          </w:tcPr>
          <w:p w14:paraId="6FD314DD">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4AA55B4">
            <w:pPr>
              <w:keepNext w:val="0"/>
              <w:keepLines w:val="0"/>
              <w:pageBreakBefore w:val="0"/>
              <w:widowControl w:val="0"/>
              <w:kinsoku/>
              <w:wordWrap/>
              <w:overflowPunct w:val="0"/>
              <w:topLinePunct/>
              <w:autoSpaceDE/>
              <w:autoSpaceDN/>
              <w:bidi w:val="0"/>
              <w:adjustRightInd w:val="0"/>
              <w:snapToGrid w:val="0"/>
              <w:spacing w:line="300" w:lineRule="exact"/>
              <w:jc w:val="both"/>
              <w:textAlignment w:val="baseline"/>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560325AE">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申请温室气体自愿减排项目登记的法人或者其他组织（经营主体）</w:t>
            </w:r>
          </w:p>
          <w:p w14:paraId="6D85A28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p>
        </w:tc>
        <w:tc>
          <w:tcPr>
            <w:tcW w:w="1370" w:type="dxa"/>
            <w:noWrap w:val="0"/>
            <w:vAlign w:val="center"/>
          </w:tcPr>
          <w:p w14:paraId="4E4F9DC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温室气体自愿减排交易及相关活动</w:t>
            </w:r>
          </w:p>
        </w:tc>
        <w:tc>
          <w:tcPr>
            <w:tcW w:w="898" w:type="dxa"/>
            <w:noWrap w:val="0"/>
            <w:vAlign w:val="center"/>
          </w:tcPr>
          <w:p w14:paraId="3DD9CF3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3BB608AF">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649DD57B">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Cs/>
                <w:color w:val="000000" w:themeColor="text1"/>
                <w:kern w:val="2"/>
                <w:sz w:val="24"/>
                <w:szCs w:val="24"/>
                <w:highlight w:val="yellow"/>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987D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4" w:hRule="atLeast"/>
          <w:jc w:val="center"/>
        </w:trPr>
        <w:tc>
          <w:tcPr>
            <w:tcW w:w="788" w:type="dxa"/>
            <w:noWrap w:val="0"/>
            <w:vAlign w:val="center"/>
          </w:tcPr>
          <w:p w14:paraId="46842DFE">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20</w:t>
            </w:r>
          </w:p>
        </w:tc>
        <w:tc>
          <w:tcPr>
            <w:tcW w:w="1723" w:type="dxa"/>
            <w:noWrap w:val="0"/>
            <w:vAlign w:val="center"/>
          </w:tcPr>
          <w:p w14:paraId="0525765D">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对重点排放单位温室气体排放和碳排放配额清缴情况的</w:t>
            </w:r>
            <w:r>
              <w:rPr>
                <w:rFonts w:hint="eastAsia" w:ascii="仿宋" w:hAnsi="仿宋" w:eastAsia="仿宋" w:cs="仿宋"/>
                <w:color w:val="000000" w:themeColor="text1"/>
                <w:sz w:val="24"/>
                <w:szCs w:val="24"/>
                <w:highlight w:val="none"/>
                <w:lang w:eastAsia="zh-CN"/>
                <w14:textFill>
                  <w14:solidFill>
                    <w14:schemeClr w14:val="tx1"/>
                  </w14:solidFill>
                </w14:textFill>
              </w:rPr>
              <w:t>行政</w:t>
            </w:r>
            <w:r>
              <w:rPr>
                <w:rFonts w:hint="eastAsia" w:ascii="仿宋" w:hAnsi="仿宋" w:eastAsia="仿宋" w:cs="仿宋"/>
                <w:color w:val="000000" w:themeColor="text1"/>
                <w:sz w:val="24"/>
                <w:szCs w:val="24"/>
                <w:highlight w:val="none"/>
                <w14:textFill>
                  <w14:solidFill>
                    <w14:schemeClr w14:val="tx1"/>
                  </w14:solidFill>
                </w14:textFill>
              </w:rPr>
              <w:t>检查</w:t>
            </w:r>
          </w:p>
        </w:tc>
        <w:tc>
          <w:tcPr>
            <w:tcW w:w="4009" w:type="dxa"/>
            <w:noWrap w:val="0"/>
            <w:vAlign w:val="center"/>
          </w:tcPr>
          <w:p w14:paraId="69827B8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1.《碳排放权交易管理办法（试行）》（生态环境部令第19号，2021年2月1日施行）</w:t>
            </w:r>
          </w:p>
          <w:p w14:paraId="54F42C3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第六条 省级生态环境主管部门负责在本行政区域内组织开展碳排放配额分配和清缴、温室气体排放报告的核查等相关活动，并进行监督管理。</w:t>
            </w:r>
          </w:p>
          <w:p w14:paraId="2046888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设区的市级生态环境主管部门负责配合省级生态环境主管部门落实相关具体工作，并根据本办法有关规定实施监督管理。</w:t>
            </w:r>
          </w:p>
          <w:p w14:paraId="2F0F459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第三十一条 设区的市级以上地方生态环境主管部门根据对重点排放单位温室气体排放报告的核查结果，确定监督检查重点和频次。</w:t>
            </w:r>
          </w:p>
          <w:p w14:paraId="16FC9B1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设区的市级以上地方生态环境主管部门应当采取“双随机、一公开”的方式，监督检查重点排放单位温室气体排放和碳排放配额清缴情况，相关情况按程序报生态环境部。</w:t>
            </w:r>
          </w:p>
        </w:tc>
        <w:tc>
          <w:tcPr>
            <w:tcW w:w="1573" w:type="dxa"/>
            <w:noWrap w:val="0"/>
            <w:vAlign w:val="center"/>
          </w:tcPr>
          <w:p w14:paraId="43EB78ED">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0DF5ADFF">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省生态环境厅大气环境与应对气候变化处、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5B33F80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温室气体和碳重点排放企业</w:t>
            </w:r>
          </w:p>
        </w:tc>
        <w:tc>
          <w:tcPr>
            <w:tcW w:w="1370" w:type="dxa"/>
            <w:noWrap w:val="0"/>
            <w:vAlign w:val="center"/>
          </w:tcPr>
          <w:p w14:paraId="14E63CA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温室气体排放和碳排放配额清缴情况</w:t>
            </w:r>
          </w:p>
        </w:tc>
        <w:tc>
          <w:tcPr>
            <w:tcW w:w="898" w:type="dxa"/>
            <w:noWrap w:val="0"/>
            <w:vAlign w:val="center"/>
          </w:tcPr>
          <w:p w14:paraId="01939602">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0573A822">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1896C28C">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3B765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788" w:type="dxa"/>
            <w:noWrap w:val="0"/>
            <w:vAlign w:val="center"/>
          </w:tcPr>
          <w:p w14:paraId="7B91B5E9">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21</w:t>
            </w:r>
          </w:p>
        </w:tc>
        <w:tc>
          <w:tcPr>
            <w:tcW w:w="1723" w:type="dxa"/>
            <w:noWrap w:val="0"/>
            <w:vAlign w:val="center"/>
          </w:tcPr>
          <w:p w14:paraId="74DDA79D">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0"/>
                <w:sz w:val="24"/>
                <w:szCs w:val="24"/>
                <w:highlight w:val="none"/>
                <w14:textFill>
                  <w14:solidFill>
                    <w14:schemeClr w14:val="tx1"/>
                  </w14:solidFill>
                </w14:textFill>
              </w:rPr>
              <w:t>对从事可能造成土壤污染活动的企业事业单位和其他生产经营者进行的</w:t>
            </w:r>
            <w:r>
              <w:rPr>
                <w:rFonts w:hint="eastAsia" w:ascii="仿宋" w:hAnsi="仿宋" w:eastAsia="仿宋" w:cs="仿宋"/>
                <w:color w:val="000000" w:themeColor="text1"/>
                <w:kern w:val="0"/>
                <w:sz w:val="24"/>
                <w:szCs w:val="24"/>
                <w:highlight w:val="none"/>
                <w:lang w:eastAsia="zh-CN"/>
                <w14:textFill>
                  <w14:solidFill>
                    <w14:schemeClr w14:val="tx1"/>
                  </w14:solidFill>
                </w14:textFill>
              </w:rPr>
              <w:t>行政</w:t>
            </w:r>
            <w:r>
              <w:rPr>
                <w:rFonts w:hint="eastAsia" w:ascii="仿宋" w:hAnsi="仿宋" w:eastAsia="仿宋" w:cs="仿宋"/>
                <w:color w:val="000000" w:themeColor="text1"/>
                <w:kern w:val="0"/>
                <w:sz w:val="24"/>
                <w:szCs w:val="24"/>
                <w:highlight w:val="none"/>
                <w14:textFill>
                  <w14:solidFill>
                    <w14:schemeClr w14:val="tx1"/>
                  </w14:solidFill>
                </w14:textFill>
              </w:rPr>
              <w:t>检查</w:t>
            </w:r>
          </w:p>
        </w:tc>
        <w:tc>
          <w:tcPr>
            <w:tcW w:w="4009" w:type="dxa"/>
            <w:noWrap w:val="0"/>
            <w:vAlign w:val="center"/>
          </w:tcPr>
          <w:p w14:paraId="143D799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1.《中华人民共和国土壤污染防治法》（2019年1月1日施行）</w:t>
            </w:r>
          </w:p>
          <w:p w14:paraId="674BCC7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第七十七条 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p w14:paraId="4D4F0A3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被检查者应当配合检查工作，如实反映情况，提供必要的资料。</w:t>
            </w:r>
          </w:p>
          <w:p w14:paraId="75A4022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实施现场检查的部门、机构及其工作人员应当为被检查者保守商业秘密。</w:t>
            </w:r>
          </w:p>
          <w:p w14:paraId="060278A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第七十九条　地方人民政府安全生产监督管理部门应当监督尾矿库运营、管理单位履行防治土壤污染的法定义务，防止其发生可能污染土壤的事故；地方人民政府生态环境主管部门应当加强对尾矿库土壤污染防治情况的监督检查和定期评估，发现风险隐患的，及时督促尾矿库运营、管理单位采取相应措施。</w:t>
            </w:r>
          </w:p>
          <w:p w14:paraId="1FEA4CE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2.《工矿用地土壤环境管理办法（试行）》（生态环境部令第3号，2018年8月1日施行）</w:t>
            </w:r>
          </w:p>
          <w:p w14:paraId="2FBFCC2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第十七条 县级以上生态环境主管部门有权对本行政区域内的重点单位进行现场检查。被检查单位应当予以配合，如实反映情况，提供必要的资料。实施现场检查的部门、机构及其工作人员应当为被检查单位保守商业秘密。</w:t>
            </w:r>
          </w:p>
          <w:p w14:paraId="01B091D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3.《农用地土壤环境管理办法（试行）》（环境保护部、农业部令第46号，2017年11月1日施行）</w:t>
            </w:r>
          </w:p>
          <w:p w14:paraId="40BEF12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第二十三条第一款 县级以上地方环境保护主管部门应当对农用地土壤污染治理与修复的环境保护措施落实情况进行监督检查。</w:t>
            </w:r>
          </w:p>
          <w:p w14:paraId="1E516D1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第二十七条 县级以上环境保护主管部门和县级以上农业主管部门，有权对本行政区域内的农用地土壤污染防治相关活动进行现场检查。被检查单位应当予以配合，如实反映情况，提供必要的资料。实施现场检查的部门、机构及其工作人员应当为被检查单位保守商业秘密。</w:t>
            </w:r>
          </w:p>
          <w:p w14:paraId="788FC74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4.《污染地块土壤环境管理办法（试行）》（环境保护部令第42号，2017年7月1日施行）</w:t>
            </w:r>
          </w:p>
          <w:p w14:paraId="39D0BD1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第二十九条 县级以上环境保护主管部门及其委托的环境监察机构，有权对本行政区域内的疑似污染地块和污染地块相关活动进行现场检查。被检查单位应当予以配合，如实反映情况，提供必要的资料。实施现场检查的部门、机构及其工作人员应当为被检查单位保守商业秘密。</w:t>
            </w:r>
          </w:p>
        </w:tc>
        <w:tc>
          <w:tcPr>
            <w:tcW w:w="1573" w:type="dxa"/>
            <w:noWrap w:val="0"/>
            <w:vAlign w:val="center"/>
          </w:tcPr>
          <w:p w14:paraId="2F8F2E1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59F788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省生态环境厅土壤生态环境处、生态环境执法局；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6EB5967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1.土壤污染重点监管单位</w:t>
            </w:r>
          </w:p>
          <w:p w14:paraId="227AB9D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2.安全利用类及严格管控类农用地</w:t>
            </w:r>
          </w:p>
          <w:p w14:paraId="0E55977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3.曾从事相关行业企业的疑似污染地块和污染地块</w:t>
            </w:r>
          </w:p>
        </w:tc>
        <w:tc>
          <w:tcPr>
            <w:tcW w:w="1370" w:type="dxa"/>
            <w:noWrap w:val="0"/>
            <w:vAlign w:val="center"/>
          </w:tcPr>
          <w:p w14:paraId="6D5290A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1.企业自行监测情况</w:t>
            </w:r>
          </w:p>
          <w:p w14:paraId="529A8FA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2.土壤污染隐患排查情况</w:t>
            </w:r>
          </w:p>
          <w:p w14:paraId="44AB0A9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3.安全利用类和严格管控类农用地落实风险管控措施等情况</w:t>
            </w:r>
          </w:p>
          <w:p w14:paraId="2A130D8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4.疑似污染地块和污染地块落实调查、风险评评估、风险管控及修复措施等情况</w:t>
            </w:r>
          </w:p>
        </w:tc>
        <w:tc>
          <w:tcPr>
            <w:tcW w:w="898" w:type="dxa"/>
            <w:noWrap w:val="0"/>
            <w:vAlign w:val="center"/>
          </w:tcPr>
          <w:p w14:paraId="02AC306C">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23C22170">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2D97620C">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7C6C2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jc w:val="center"/>
        </w:trPr>
        <w:tc>
          <w:tcPr>
            <w:tcW w:w="788" w:type="dxa"/>
            <w:noWrap w:val="0"/>
            <w:vAlign w:val="center"/>
          </w:tcPr>
          <w:p w14:paraId="7A71EB7F">
            <w:pPr>
              <w:keepNext w:val="0"/>
              <w:keepLines w:val="0"/>
              <w:pageBreakBefore w:val="0"/>
              <w:widowControl w:val="0"/>
              <w:tabs>
                <w:tab w:val="left" w:pos="0"/>
              </w:tabs>
              <w:kinsoku/>
              <w:wordWrap/>
              <w:overflowPunct w:val="0"/>
              <w:topLinePunct/>
              <w:autoSpaceDE/>
              <w:autoSpaceDN/>
              <w:bidi w:val="0"/>
              <w:adjustRightInd w:val="0"/>
              <w:snapToGrid w:val="0"/>
              <w:spacing w:line="300" w:lineRule="exact"/>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22</w:t>
            </w:r>
          </w:p>
        </w:tc>
        <w:tc>
          <w:tcPr>
            <w:tcW w:w="1723" w:type="dxa"/>
            <w:noWrap w:val="0"/>
            <w:vAlign w:val="center"/>
          </w:tcPr>
          <w:p w14:paraId="3633E760">
            <w:pPr>
              <w:keepNext w:val="0"/>
              <w:keepLines w:val="0"/>
              <w:pageBreakBefore w:val="0"/>
              <w:widowControl w:val="0"/>
              <w:kinsoku/>
              <w:wordWrap/>
              <w:overflowPunct w:val="0"/>
              <w:topLinePunct/>
              <w:autoSpaceDE/>
              <w:autoSpaceDN/>
              <w:bidi w:val="0"/>
              <w:adjustRightInd w:val="0"/>
              <w:snapToGrid w:val="0"/>
              <w:spacing w:line="300" w:lineRule="exac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对农田灌溉用水水质的监督检查</w:t>
            </w:r>
          </w:p>
        </w:tc>
        <w:tc>
          <w:tcPr>
            <w:tcW w:w="4009" w:type="dxa"/>
            <w:noWrap w:val="0"/>
            <w:vAlign w:val="center"/>
          </w:tcPr>
          <w:p w14:paraId="27E82A4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1.《中华人民共和国土壤污染防治法》（2019年1月1日施行）</w:t>
            </w:r>
          </w:p>
          <w:p w14:paraId="226E234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第二十八条第三款 农田灌溉用水应当符合相应的水质标准，防止土壤、地下水和农产品污染。地方人民政府生态环境主管部门应当会同农业农村、水利主管部门加强对农田灌溉用水水质的管理，对农田灌溉用水水质进行监测和监督检查。</w:t>
            </w:r>
          </w:p>
        </w:tc>
        <w:tc>
          <w:tcPr>
            <w:tcW w:w="1573" w:type="dxa"/>
            <w:noWrap w:val="0"/>
            <w:vAlign w:val="center"/>
          </w:tcPr>
          <w:p w14:paraId="4C938F94">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65B4732F">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省生态环境厅土壤生态环境处、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承担相应行政检查职责的机构</w:t>
            </w:r>
          </w:p>
        </w:tc>
        <w:tc>
          <w:tcPr>
            <w:tcW w:w="1246" w:type="dxa"/>
            <w:noWrap w:val="0"/>
            <w:vAlign w:val="center"/>
          </w:tcPr>
          <w:p w14:paraId="51001C1A">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有关种植大户和企业</w:t>
            </w:r>
          </w:p>
        </w:tc>
        <w:tc>
          <w:tcPr>
            <w:tcW w:w="1370" w:type="dxa"/>
            <w:noWrap w:val="0"/>
            <w:vAlign w:val="center"/>
          </w:tcPr>
          <w:p w14:paraId="460E4920">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不定期对农田灌溉用水水质进行抽样检测。</w:t>
            </w:r>
          </w:p>
        </w:tc>
        <w:tc>
          <w:tcPr>
            <w:tcW w:w="898" w:type="dxa"/>
            <w:noWrap w:val="0"/>
            <w:vAlign w:val="center"/>
          </w:tcPr>
          <w:p w14:paraId="1B7E47C4">
            <w:pPr>
              <w:keepNext w:val="0"/>
              <w:keepLines w:val="0"/>
              <w:pageBreakBefore w:val="0"/>
              <w:widowControl w:val="0"/>
              <w:kinsoku/>
              <w:wordWrap/>
              <w:autoSpaceDE/>
              <w:autoSpaceDN/>
              <w:bidi w:val="0"/>
              <w:adjustRightInd w:val="0"/>
              <w:snapToGrid w:val="0"/>
              <w:spacing w:line="300" w:lineRule="exact"/>
              <w:jc w:val="both"/>
              <w:textAlignment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30582DDF">
            <w:pPr>
              <w:keepNext w:val="0"/>
              <w:keepLines w:val="0"/>
              <w:pageBreakBefore w:val="0"/>
              <w:widowControl w:val="0"/>
              <w:kinsoku/>
              <w:wordWrap/>
              <w:overflowPunct w:val="0"/>
              <w:topLinePunct/>
              <w:autoSpaceDE/>
              <w:autoSpaceDN/>
              <w:bidi w:val="0"/>
              <w:adjustRightInd w:val="0"/>
              <w:snapToGrid w:val="0"/>
              <w:spacing w:line="300" w:lineRule="exact"/>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2D972526">
            <w:pPr>
              <w:keepNext w:val="0"/>
              <w:keepLines w:val="0"/>
              <w:pageBreakBefore w:val="0"/>
              <w:widowControl w:val="0"/>
              <w:kinsoku/>
              <w:wordWrap/>
              <w:autoSpaceDE/>
              <w:autoSpaceDN/>
              <w:bidi w:val="0"/>
              <w:adjustRightInd w:val="0"/>
              <w:snapToGrid w:val="0"/>
              <w:spacing w:line="30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3DEA1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dxa"/>
            <w:noWrap w:val="0"/>
            <w:vAlign w:val="center"/>
          </w:tcPr>
          <w:p w14:paraId="0F9F2453">
            <w:pPr>
              <w:keepNext w:val="0"/>
              <w:keepLines w:val="0"/>
              <w:pageBreakBefore w:val="0"/>
              <w:widowControl w:val="0"/>
              <w:tabs>
                <w:tab w:val="left" w:pos="0"/>
              </w:tabs>
              <w:kinsoku/>
              <w:wordWrap/>
              <w:overflowPunct w:val="0"/>
              <w:topLinePunct/>
              <w:autoSpaceDE/>
              <w:autoSpaceDN/>
              <w:bidi w:val="0"/>
              <w:adjustRightInd w:val="0"/>
              <w:snapToGrid w:val="0"/>
              <w:spacing w:line="300" w:lineRule="exact"/>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23</w:t>
            </w:r>
          </w:p>
        </w:tc>
        <w:tc>
          <w:tcPr>
            <w:tcW w:w="1723" w:type="dxa"/>
            <w:noWrap w:val="0"/>
            <w:vAlign w:val="center"/>
          </w:tcPr>
          <w:p w14:paraId="5EBD880F">
            <w:pPr>
              <w:keepNext w:val="0"/>
              <w:keepLines w:val="0"/>
              <w:pageBreakBefore w:val="0"/>
              <w:widowControl w:val="0"/>
              <w:kinsoku/>
              <w:wordWrap/>
              <w:overflowPunct w:val="0"/>
              <w:topLinePunct/>
              <w:autoSpaceDE/>
              <w:autoSpaceDN/>
              <w:bidi w:val="0"/>
              <w:adjustRightInd w:val="0"/>
              <w:snapToGrid w:val="0"/>
              <w:spacing w:line="30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对从事地下水节约、保护、利用活动的单位和个人的行政检查</w:t>
            </w:r>
          </w:p>
        </w:tc>
        <w:tc>
          <w:tcPr>
            <w:tcW w:w="4009" w:type="dxa"/>
            <w:noWrap w:val="0"/>
            <w:vAlign w:val="center"/>
          </w:tcPr>
          <w:p w14:paraId="7CBCCDA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1.《地下水管理条例》（2021年12月1日施行）</w:t>
            </w:r>
          </w:p>
          <w:p w14:paraId="31D1DAD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第五十三条 县级以上人民政府水行政、生态环境等主管部门应当建立从事地下水节约、保护、利用活动的单位和个人的诚信档案，记录日常监督检查结果、违法行为查处等情况，并依法向社会公示。</w:t>
            </w:r>
          </w:p>
        </w:tc>
        <w:tc>
          <w:tcPr>
            <w:tcW w:w="1573" w:type="dxa"/>
            <w:noWrap w:val="0"/>
            <w:vAlign w:val="center"/>
          </w:tcPr>
          <w:p w14:paraId="7F75E832">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0E009B3F">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省生态环境厅土壤生态环境处、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4ADE26F2">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从事地下水节约、保护、利用活动的</w:t>
            </w:r>
            <w:r>
              <w:rPr>
                <w:rFonts w:hint="eastAsia" w:ascii="仿宋" w:hAnsi="仿宋" w:eastAsia="仿宋" w:cs="仿宋"/>
                <w:color w:val="000000" w:themeColor="text1"/>
                <w:sz w:val="24"/>
                <w:szCs w:val="24"/>
                <w:highlight w:val="none"/>
                <w:lang w:val="en-US" w:eastAsia="zh-CN"/>
                <w14:textFill>
                  <w14:solidFill>
                    <w14:schemeClr w14:val="tx1"/>
                  </w14:solidFill>
                </w14:textFill>
              </w:rPr>
              <w:t>经营主体</w:t>
            </w:r>
          </w:p>
        </w:tc>
        <w:tc>
          <w:tcPr>
            <w:tcW w:w="1370" w:type="dxa"/>
            <w:noWrap w:val="0"/>
            <w:vAlign w:val="center"/>
          </w:tcPr>
          <w:p w14:paraId="5D24F2A5">
            <w:pPr>
              <w:keepNext w:val="0"/>
              <w:keepLines w:val="0"/>
              <w:pageBreakBefore w:val="0"/>
              <w:widowControl w:val="0"/>
              <w:kinsoku/>
              <w:wordWrap/>
              <w:overflowPunct w:val="0"/>
              <w:topLinePunct/>
              <w:autoSpaceDE/>
              <w:autoSpaceDN/>
              <w:bidi w:val="0"/>
              <w:adjustRightInd w:val="0"/>
              <w:snapToGrid w:val="0"/>
              <w:spacing w:line="300" w:lineRule="exact"/>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配合开展日常监督检查，对违法行为进行查处。</w:t>
            </w:r>
          </w:p>
        </w:tc>
        <w:tc>
          <w:tcPr>
            <w:tcW w:w="898" w:type="dxa"/>
            <w:noWrap w:val="0"/>
            <w:vAlign w:val="center"/>
          </w:tcPr>
          <w:p w14:paraId="0DE62314">
            <w:pPr>
              <w:keepNext w:val="0"/>
              <w:keepLines w:val="0"/>
              <w:pageBreakBefore w:val="0"/>
              <w:widowControl w:val="0"/>
              <w:kinsoku/>
              <w:wordWrap/>
              <w:autoSpaceDE/>
              <w:autoSpaceDN/>
              <w:bidi w:val="0"/>
              <w:adjustRightInd w:val="0"/>
              <w:snapToGrid w:val="0"/>
              <w:spacing w:line="300" w:lineRule="exact"/>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6B37C955">
            <w:pPr>
              <w:keepNext w:val="0"/>
              <w:keepLines w:val="0"/>
              <w:pageBreakBefore w:val="0"/>
              <w:widowControl w:val="0"/>
              <w:kinsoku/>
              <w:wordWrap/>
              <w:autoSpaceDE/>
              <w:autoSpaceDN/>
              <w:bidi w:val="0"/>
              <w:adjustRightInd w:val="0"/>
              <w:snapToGrid w:val="0"/>
              <w:spacing w:line="300" w:lineRule="exact"/>
              <w:jc w:val="center"/>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075D2962">
            <w:pPr>
              <w:keepNext w:val="0"/>
              <w:keepLines w:val="0"/>
              <w:pageBreakBefore w:val="0"/>
              <w:widowControl w:val="0"/>
              <w:kinsoku/>
              <w:wordWrap/>
              <w:autoSpaceDE/>
              <w:autoSpaceDN/>
              <w:bidi w:val="0"/>
              <w:adjustRightInd w:val="0"/>
              <w:snapToGrid w:val="0"/>
              <w:spacing w:line="300" w:lineRule="exact"/>
              <w:jc w:val="left"/>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61C01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2" w:hRule="atLeast"/>
          <w:jc w:val="center"/>
        </w:trPr>
        <w:tc>
          <w:tcPr>
            <w:tcW w:w="788" w:type="dxa"/>
            <w:noWrap w:val="0"/>
            <w:vAlign w:val="center"/>
          </w:tcPr>
          <w:p w14:paraId="27203472">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24</w:t>
            </w:r>
          </w:p>
        </w:tc>
        <w:tc>
          <w:tcPr>
            <w:tcW w:w="1723" w:type="dxa"/>
            <w:noWrap w:val="0"/>
            <w:vAlign w:val="center"/>
          </w:tcPr>
          <w:p w14:paraId="3B449546">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kern w:val="0"/>
                <w:sz w:val="24"/>
                <w:szCs w:val="24"/>
                <w:highlight w:val="none"/>
                <w14:textFill>
                  <w14:solidFill>
                    <w14:schemeClr w14:val="tx1"/>
                  </w14:solidFill>
                </w14:textFill>
              </w:rPr>
              <w:t>对产生、收集、贮存、</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转移（</w:t>
            </w:r>
            <w:r>
              <w:rPr>
                <w:rFonts w:hint="eastAsia" w:ascii="仿宋" w:hAnsi="仿宋" w:eastAsia="仿宋" w:cs="仿宋"/>
                <w:b w:val="0"/>
                <w:bCs w:val="0"/>
                <w:color w:val="000000" w:themeColor="text1"/>
                <w:kern w:val="0"/>
                <w:sz w:val="24"/>
                <w:szCs w:val="24"/>
                <w:highlight w:val="none"/>
                <w14:textFill>
                  <w14:solidFill>
                    <w14:schemeClr w14:val="tx1"/>
                  </w14:solidFill>
                </w14:textFill>
              </w:rPr>
              <w:t>运输</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w:t>
            </w:r>
            <w:r>
              <w:rPr>
                <w:rFonts w:hint="eastAsia" w:ascii="仿宋" w:hAnsi="仿宋" w:eastAsia="仿宋" w:cs="仿宋"/>
                <w:b w:val="0"/>
                <w:bCs w:val="0"/>
                <w:color w:val="000000" w:themeColor="text1"/>
                <w:kern w:val="0"/>
                <w:sz w:val="24"/>
                <w:szCs w:val="24"/>
                <w:highlight w:val="none"/>
                <w14:textFill>
                  <w14:solidFill>
                    <w14:schemeClr w14:val="tx1"/>
                  </w14:solidFill>
                </w14:textFill>
              </w:rPr>
              <w:t>、利用、处置固体废物、危险废物的单位和其他生产经营者的</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行政</w:t>
            </w:r>
            <w:r>
              <w:rPr>
                <w:rFonts w:hint="eastAsia" w:ascii="仿宋" w:hAnsi="仿宋" w:eastAsia="仿宋" w:cs="仿宋"/>
                <w:b w:val="0"/>
                <w:bCs w:val="0"/>
                <w:color w:val="000000" w:themeColor="text1"/>
                <w:kern w:val="0"/>
                <w:sz w:val="24"/>
                <w:szCs w:val="24"/>
                <w:highlight w:val="none"/>
                <w14:textFill>
                  <w14:solidFill>
                    <w14:schemeClr w14:val="tx1"/>
                  </w14:solidFill>
                </w14:textFill>
              </w:rPr>
              <w:t>检查</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（涉及行政许可检查除外）</w:t>
            </w:r>
          </w:p>
        </w:tc>
        <w:tc>
          <w:tcPr>
            <w:tcW w:w="4009" w:type="dxa"/>
            <w:noWrap w:val="0"/>
            <w:vAlign w:val="center"/>
          </w:tcPr>
          <w:p w14:paraId="384A82E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1.《中华人民共和国固体废物污染环境防治法》（2020年修订）</w:t>
            </w:r>
          </w:p>
          <w:p w14:paraId="4562D53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第二十六条 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p>
          <w:p w14:paraId="094FBC1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实施现场检查，可以采取现场监测、采集样品、查阅或者复制与固体废物污染环境防治相关的资料等措施。检查人员进行现场检查，应当出示证件。对现场检查中知悉的商业秘密应当保密。</w:t>
            </w:r>
          </w:p>
          <w:p w14:paraId="390A9CA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第八十五条 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p w14:paraId="791D9F2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2.《危险化学品安全管理条例》（2013年修订）</w:t>
            </w:r>
          </w:p>
          <w:p w14:paraId="4E66902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第六条第一款第（四）项 对危险化学品的生产、储存、使用、经营、运输实施安全监督管理的有关部门（以下统称负有危险化学品安全监督管理职责的部门），依照下列规定履行职责：（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p>
          <w:p w14:paraId="41EDF0C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3.《危险废物经营许可证管理办法》（2016年修订）</w:t>
            </w:r>
          </w:p>
          <w:p w14:paraId="766B5EC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第十七条 县级以上人民政府环境保护主管部门应当通过书面核查和实地检查等方式，加强对危险废物经营单位的监督检查，并将监督检查情况和处理结果予以记录，由监督检查人员签字后归档。</w:t>
            </w:r>
          </w:p>
          <w:p w14:paraId="28B85CB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公众有权查阅县级以上人民政府环境保护主管部门的监督检查记录。</w:t>
            </w:r>
          </w:p>
          <w:p w14:paraId="480005A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县级以上人民政府环境保护主管部门发现危险废物经营单位在经营活动中有不符合原发证条件的情形的，应当责令其限期整改。</w:t>
            </w:r>
          </w:p>
          <w:p w14:paraId="5A718AD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4.《危险废物转移管理办法》（生态环境部令第23号，2022年1月1日施行）</w:t>
            </w:r>
          </w:p>
          <w:p w14:paraId="54EBC4B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第四条 生态环境主管部门依法对危险废物转移污染环境防治工作以及危险废物转移联单运行实施监督管理，查处危险废物污染环境违法行为。</w:t>
            </w:r>
          </w:p>
          <w:p w14:paraId="69D73A6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w:t>
            </w:r>
          </w:p>
          <w:p w14:paraId="7F14771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5.《湖南省实施 &lt;中华人民共和国固体废物污染环境防治法&gt;办法》（2022年修正）</w:t>
            </w:r>
          </w:p>
          <w:p w14:paraId="3769113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第三条　生态环境主管部门对本行政区域内固体废物污染环境防治实施统一监督管理。</w:t>
            </w:r>
          </w:p>
        </w:tc>
        <w:tc>
          <w:tcPr>
            <w:tcW w:w="1573" w:type="dxa"/>
            <w:noWrap w:val="0"/>
            <w:vAlign w:val="center"/>
          </w:tcPr>
          <w:p w14:paraId="306D0DD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生态环境主管部门（</w:t>
            </w:r>
            <w:r>
              <w:rPr>
                <w:rFonts w:hint="eastAsia" w:ascii="仿宋" w:hAnsi="仿宋" w:eastAsia="仿宋" w:cs="仿宋"/>
                <w:color w:val="000000" w:themeColor="text1"/>
                <w:sz w:val="24"/>
                <w:szCs w:val="24"/>
                <w:highlight w:val="none"/>
                <w:lang w:val="en-US" w:eastAsia="zh-CN"/>
                <w14:textFill>
                  <w14:solidFill>
                    <w14:schemeClr w14:val="tx1"/>
                  </w14:solidFill>
                </w14:textFill>
              </w:rPr>
              <w:t>省级、设区的市级</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w:t>
            </w:r>
          </w:p>
        </w:tc>
        <w:tc>
          <w:tcPr>
            <w:tcW w:w="1599" w:type="dxa"/>
            <w:noWrap w:val="0"/>
            <w:vAlign w:val="center"/>
          </w:tcPr>
          <w:p w14:paraId="3A15546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省生态环境厅固体废物与化学品处、生态环境执法局；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4C4BA81A">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kern w:val="0"/>
                <w:sz w:val="24"/>
                <w:szCs w:val="24"/>
                <w:highlight w:val="none"/>
                <w14:textFill>
                  <w14:solidFill>
                    <w14:schemeClr w14:val="tx1"/>
                  </w14:solidFill>
                </w14:textFill>
              </w:rPr>
              <w:t>危险废物</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产生、</w:t>
            </w:r>
            <w:r>
              <w:rPr>
                <w:rFonts w:hint="eastAsia" w:ascii="仿宋" w:hAnsi="仿宋" w:eastAsia="仿宋" w:cs="仿宋"/>
                <w:b w:val="0"/>
                <w:bCs w:val="0"/>
                <w:color w:val="000000" w:themeColor="text1"/>
                <w:kern w:val="0"/>
                <w:sz w:val="24"/>
                <w:szCs w:val="24"/>
                <w:highlight w:val="none"/>
                <w14:textFill>
                  <w14:solidFill>
                    <w14:schemeClr w14:val="tx1"/>
                  </w14:solidFill>
                </w14:textFill>
              </w:rPr>
              <w:t>收集、贮存、</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转移（</w:t>
            </w:r>
            <w:r>
              <w:rPr>
                <w:rFonts w:hint="eastAsia" w:ascii="仿宋" w:hAnsi="仿宋" w:eastAsia="仿宋" w:cs="仿宋"/>
                <w:b w:val="0"/>
                <w:bCs w:val="0"/>
                <w:color w:val="000000" w:themeColor="text1"/>
                <w:kern w:val="0"/>
                <w:sz w:val="24"/>
                <w:szCs w:val="24"/>
                <w:highlight w:val="none"/>
                <w14:textFill>
                  <w14:solidFill>
                    <w14:schemeClr w14:val="tx1"/>
                  </w14:solidFill>
                </w14:textFill>
              </w:rPr>
              <w:t>运输</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w:t>
            </w:r>
            <w:r>
              <w:rPr>
                <w:rFonts w:hint="eastAsia" w:ascii="仿宋" w:hAnsi="仿宋" w:eastAsia="仿宋" w:cs="仿宋"/>
                <w:b w:val="0"/>
                <w:bCs w:val="0"/>
                <w:color w:val="000000" w:themeColor="text1"/>
                <w:kern w:val="0"/>
                <w:sz w:val="24"/>
                <w:szCs w:val="24"/>
                <w:highlight w:val="none"/>
                <w14:textFill>
                  <w14:solidFill>
                    <w14:schemeClr w14:val="tx1"/>
                  </w14:solidFill>
                </w14:textFill>
              </w:rPr>
              <w:t>、利用、处置固体废物</w:t>
            </w: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w:t>
            </w:r>
            <w:r>
              <w:rPr>
                <w:rFonts w:hint="eastAsia" w:ascii="仿宋" w:hAnsi="仿宋" w:eastAsia="仿宋" w:cs="仿宋"/>
                <w:b w:val="0"/>
                <w:bCs w:val="0"/>
                <w:color w:val="000000" w:themeColor="text1"/>
                <w:kern w:val="0"/>
                <w:sz w:val="24"/>
                <w:szCs w:val="24"/>
                <w:highlight w:val="none"/>
                <w14:textFill>
                  <w14:solidFill>
                    <w14:schemeClr w14:val="tx1"/>
                  </w14:solidFill>
                </w14:textFill>
              </w:rPr>
              <w:t>危险废物</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的企业和其他经营者</w:t>
            </w:r>
          </w:p>
        </w:tc>
        <w:tc>
          <w:tcPr>
            <w:tcW w:w="1370" w:type="dxa"/>
            <w:noWrap w:val="0"/>
            <w:vAlign w:val="center"/>
          </w:tcPr>
          <w:p w14:paraId="25A9301A">
            <w:pPr>
              <w:keepNext w:val="0"/>
              <w:keepLines w:val="0"/>
              <w:pageBreakBefore w:val="0"/>
              <w:widowControl w:val="0"/>
              <w:tabs>
                <w:tab w:val="center" w:pos="4153"/>
                <w:tab w:val="right" w:pos="8306"/>
              </w:tabs>
              <w:kinsoku/>
              <w:wordWrap/>
              <w:autoSpaceDE/>
              <w:autoSpaceDN/>
              <w:bidi w:val="0"/>
              <w:adjustRightInd w:val="0"/>
              <w:snapToGrid w:val="0"/>
              <w:spacing w:line="240" w:lineRule="auto"/>
              <w:ind w:firstLine="0"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1.对</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危险废物产生单位、经营单位开展规范化环境管理情况的监督检查</w:t>
            </w:r>
          </w:p>
          <w:p w14:paraId="08AFBDB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2.</w:t>
            </w:r>
            <w:r>
              <w:rPr>
                <w:rFonts w:hint="eastAsia" w:ascii="仿宋" w:hAnsi="仿宋" w:eastAsia="仿宋" w:cs="仿宋"/>
                <w:b w:val="0"/>
                <w:bCs w:val="0"/>
                <w:color w:val="000000" w:themeColor="text1"/>
                <w:kern w:val="0"/>
                <w:sz w:val="24"/>
                <w:szCs w:val="24"/>
                <w:highlight w:val="none"/>
                <w14:textFill>
                  <w14:solidFill>
                    <w14:schemeClr w14:val="tx1"/>
                  </w14:solidFill>
                </w14:textFill>
              </w:rPr>
              <w:t>危险废物</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收集、贮存、利用、处置等活动环境监管</w:t>
            </w:r>
          </w:p>
        </w:tc>
        <w:tc>
          <w:tcPr>
            <w:tcW w:w="898" w:type="dxa"/>
            <w:noWrap w:val="0"/>
            <w:vAlign w:val="center"/>
          </w:tcPr>
          <w:p w14:paraId="3D13037C">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2C6D1F59">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23E33119">
            <w:pPr>
              <w:keepNext w:val="0"/>
              <w:keepLines w:val="0"/>
              <w:pageBreakBefore w:val="0"/>
              <w:widowControl w:val="0"/>
              <w:kinsoku/>
              <w:wordWrap/>
              <w:overflowPunct/>
              <w:topLinePunct w:val="0"/>
              <w:autoSpaceDE/>
              <w:autoSpaceDN/>
              <w:bidi w:val="0"/>
              <w:adjustRightInd w:val="0"/>
              <w:snapToGrid w:val="0"/>
              <w:spacing w:line="300" w:lineRule="exact"/>
              <w:jc w:val="left"/>
              <w:textAlignment w:val="baseline"/>
              <w:rPr>
                <w:rFonts w:hint="eastAsia" w:ascii="仿宋" w:hAnsi="仿宋" w:eastAsia="仿宋" w:cs="仿宋"/>
                <w:b w:val="0"/>
                <w:bCs w:val="0"/>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36FE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3" w:hRule="atLeast"/>
          <w:jc w:val="center"/>
        </w:trPr>
        <w:tc>
          <w:tcPr>
            <w:tcW w:w="788" w:type="dxa"/>
            <w:noWrap w:val="0"/>
            <w:vAlign w:val="center"/>
          </w:tcPr>
          <w:p w14:paraId="4C955D1B">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25</w:t>
            </w:r>
          </w:p>
        </w:tc>
        <w:tc>
          <w:tcPr>
            <w:tcW w:w="1723" w:type="dxa"/>
            <w:noWrap w:val="0"/>
            <w:vAlign w:val="center"/>
          </w:tcPr>
          <w:p w14:paraId="183563DA">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b w:val="0"/>
                <w:bCs w:val="0"/>
                <w:color w:val="000000" w:themeColor="text1"/>
                <w:kern w:val="0"/>
                <w:sz w:val="24"/>
                <w:szCs w:val="24"/>
                <w:highlight w:val="none"/>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对废弃电器电子产品处理活动；对拆解、利用、处置电子废物单位的</w:t>
            </w: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行政</w:t>
            </w:r>
            <w:r>
              <w:rPr>
                <w:rFonts w:hint="eastAsia" w:ascii="仿宋" w:hAnsi="仿宋" w:eastAsia="仿宋" w:cs="仿宋"/>
                <w:b w:val="0"/>
                <w:bCs w:val="0"/>
                <w:color w:val="000000" w:themeColor="text1"/>
                <w:sz w:val="24"/>
                <w:szCs w:val="24"/>
                <w:highlight w:val="none"/>
                <w14:textFill>
                  <w14:solidFill>
                    <w14:schemeClr w14:val="tx1"/>
                  </w14:solidFill>
                </w14:textFill>
              </w:rPr>
              <w:t>检查</w:t>
            </w:r>
          </w:p>
        </w:tc>
        <w:tc>
          <w:tcPr>
            <w:tcW w:w="4009" w:type="dxa"/>
            <w:noWrap w:val="0"/>
            <w:vAlign w:val="center"/>
          </w:tcPr>
          <w:p w14:paraId="2E8903D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1.《废弃电器电子产品回收处理管理条例》（2019年修订）</w:t>
            </w:r>
          </w:p>
          <w:p w14:paraId="5B30F48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第二十五条 县级以上地方人民政府生态环境主管部门应当通过书面核查和实地检查等方式，加强对废弃电器电子产品处理活动的监督检查。</w:t>
            </w:r>
          </w:p>
          <w:p w14:paraId="580B672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2.《电子废物污染环境防治管理办法》（国家环境保护总局令第40号，2008年2月1日施行）</w:t>
            </w:r>
          </w:p>
          <w:p w14:paraId="6D16397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第十二条 县级以上人民政府环境保护行政主管部门有权要求拆解、利用、处置电子废物的单位定期报告电子废物经营活动情况。</w:t>
            </w:r>
          </w:p>
          <w:p w14:paraId="2D60A88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县级以上人民政府环境保护行政主管部门应当通过书面核查和实地检查等方式进行监督检查，并将监督检查情况和处理结果予以记录，由监督检查人员签字后归档。监督抽查和监测一年不得少于一次。</w:t>
            </w:r>
          </w:p>
          <w:p w14:paraId="20D6D12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县级以上人民政府环境保护行政主管部门发现有不符合环境保护措施验收合格时条件、情节轻微的，可以责令限期整改；经及时整改并未造成危害后果的，可以不予处罚。</w:t>
            </w:r>
          </w:p>
          <w:p w14:paraId="615346B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3.《废弃电器电子产品处理资格许可管理办法》（环境保护部令第13号，2011年1月1日施行）</w:t>
            </w:r>
          </w:p>
          <w:p w14:paraId="3A01E93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第十八条 县级以上地方人民政府环境保护主管部门应当通过书面核查和实地检查等方式，加强对废弃电器电子产品处理活动的监督检查，并将监督检查情况和处理结果予以记录，由监督检查人员签字后归档。</w:t>
            </w:r>
          </w:p>
          <w:p w14:paraId="14222AB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sz w:val="24"/>
                <w:szCs w:val="24"/>
                <w:highlight w:val="none"/>
                <w:lang w:val="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公众可以依法向县级以上地方人民政府环境保护主管部门申请公开监督检查的处理结果。</w:t>
            </w:r>
          </w:p>
        </w:tc>
        <w:tc>
          <w:tcPr>
            <w:tcW w:w="1573" w:type="dxa"/>
            <w:noWrap w:val="0"/>
            <w:vAlign w:val="center"/>
          </w:tcPr>
          <w:p w14:paraId="7E9B3BF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生态环境主管部门（</w:t>
            </w:r>
            <w:r>
              <w:rPr>
                <w:rFonts w:hint="eastAsia" w:ascii="仿宋" w:hAnsi="仿宋" w:eastAsia="仿宋" w:cs="仿宋"/>
                <w:color w:val="000000" w:themeColor="text1"/>
                <w:sz w:val="24"/>
                <w:szCs w:val="24"/>
                <w:highlight w:val="none"/>
                <w:lang w:val="en-US" w:eastAsia="zh-CN"/>
                <w14:textFill>
                  <w14:solidFill>
                    <w14:schemeClr w14:val="tx1"/>
                  </w14:solidFill>
                </w14:textFill>
              </w:rPr>
              <w:t>省级、设区的市级</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w:t>
            </w:r>
          </w:p>
        </w:tc>
        <w:tc>
          <w:tcPr>
            <w:tcW w:w="1599" w:type="dxa"/>
            <w:noWrap w:val="0"/>
            <w:vAlign w:val="center"/>
          </w:tcPr>
          <w:p w14:paraId="505DD70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省生态环境厅固体废物与化学品处、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452AE20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废弃电器电子产品回收处理企业</w:t>
            </w:r>
          </w:p>
        </w:tc>
        <w:tc>
          <w:tcPr>
            <w:tcW w:w="1370" w:type="dxa"/>
            <w:noWrap w:val="0"/>
            <w:vAlign w:val="center"/>
          </w:tcPr>
          <w:p w14:paraId="272EF1A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t>对废弃电器电子产品处理活动的环境监管检查</w:t>
            </w:r>
          </w:p>
        </w:tc>
        <w:tc>
          <w:tcPr>
            <w:tcW w:w="898" w:type="dxa"/>
            <w:noWrap w:val="0"/>
            <w:vAlign w:val="center"/>
          </w:tcPr>
          <w:p w14:paraId="20BCF997">
            <w:pPr>
              <w:keepNext w:val="0"/>
              <w:keepLines w:val="0"/>
              <w:pageBreakBefore w:val="0"/>
              <w:widowControl w:val="0"/>
              <w:kinsoku/>
              <w:wordWrap/>
              <w:overflowPunct w:val="0"/>
              <w:topLinePunct/>
              <w:autoSpaceDE/>
              <w:autoSpaceDN/>
              <w:bidi w:val="0"/>
              <w:adjustRightInd w:val="0"/>
              <w:snapToGrid w:val="0"/>
              <w:spacing w:line="240" w:lineRule="auto"/>
              <w:jc w:val="both"/>
              <w:textAlignment w:val="auto"/>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val="en" w:eastAsia="zh-CN"/>
                <w14:textFill>
                  <w14:solidFill>
                    <w14:schemeClr w14:val="tx1"/>
                  </w14:solidFill>
                </w14:textFill>
              </w:rPr>
              <w:t>现场检查和非现场检查相结合</w:t>
            </w:r>
          </w:p>
        </w:tc>
        <w:tc>
          <w:tcPr>
            <w:tcW w:w="1386" w:type="dxa"/>
            <w:noWrap w:val="0"/>
            <w:vAlign w:val="center"/>
          </w:tcPr>
          <w:p w14:paraId="0DDF0845">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391FDEE6">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 w:val="0"/>
                <w:bCs w:val="0"/>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5479B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7CD36F42">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26</w:t>
            </w:r>
          </w:p>
        </w:tc>
        <w:tc>
          <w:tcPr>
            <w:tcW w:w="1723" w:type="dxa"/>
            <w:noWrap w:val="0"/>
            <w:vAlign w:val="center"/>
          </w:tcPr>
          <w:p w14:paraId="4DBE229D">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b w:val="0"/>
                <w:bCs w:val="0"/>
                <w:color w:val="000000" w:themeColor="text1"/>
                <w:kern w:val="0"/>
                <w:sz w:val="24"/>
                <w:szCs w:val="24"/>
                <w:highlight w:val="none"/>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对医疗卫生机构和医疗废物集中处置单位环境污染防治工作的</w:t>
            </w: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行政</w:t>
            </w:r>
            <w:r>
              <w:rPr>
                <w:rFonts w:hint="eastAsia" w:ascii="仿宋" w:hAnsi="仿宋" w:eastAsia="仿宋" w:cs="仿宋"/>
                <w:b w:val="0"/>
                <w:bCs w:val="0"/>
                <w:color w:val="000000" w:themeColor="text1"/>
                <w:sz w:val="24"/>
                <w:szCs w:val="24"/>
                <w:highlight w:val="none"/>
                <w14:textFill>
                  <w14:solidFill>
                    <w14:schemeClr w14:val="tx1"/>
                  </w14:solidFill>
                </w14:textFill>
              </w:rPr>
              <w:t>检查</w:t>
            </w:r>
          </w:p>
        </w:tc>
        <w:tc>
          <w:tcPr>
            <w:tcW w:w="4009" w:type="dxa"/>
            <w:noWrap w:val="0"/>
            <w:vAlign w:val="center"/>
          </w:tcPr>
          <w:p w14:paraId="4D3D732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1.《中华人民共和国固体废物污染环境防治法》（2020年修订）</w:t>
            </w:r>
          </w:p>
          <w:p w14:paraId="3CBAC9F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第九十条　医疗废物按照国家危险废物名录管理。县级以上地方人民政府应当加强医疗废物集中处置能力建设。</w:t>
            </w:r>
          </w:p>
          <w:p w14:paraId="2D20FCD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县级以上人民政府卫生健康、生态环境等主管部门应当在各自职责范围内加强对医疗废物收集、贮存、运输、处置的监督管理，防止危害公众健康、污染环境。</w:t>
            </w:r>
          </w:p>
          <w:p w14:paraId="00ECB60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医疗卫生机构应当依法分类收集本单位产生的医疗废物，交由医疗废物集中处置单位处置。医疗废物集中处置单位应当及时收集、运输和处置医疗废物。</w:t>
            </w:r>
          </w:p>
          <w:p w14:paraId="68FC88D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医疗卫生机构和医疗废物集中处置单位，应当采取有效措施，防止医疗废物流失、泄漏、渗漏、扩散。</w:t>
            </w:r>
          </w:p>
          <w:p w14:paraId="7F7546C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2.《医疗废物管理条例》（2011年修订）</w:t>
            </w:r>
          </w:p>
          <w:p w14:paraId="211E4FF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sz w:val="24"/>
                <w:szCs w:val="24"/>
                <w:highlight w:val="none"/>
                <w:lang w:val="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第三十六条 县级以上地方人民政府环境保护行政主管部门，应当对医疗卫生机构和医疗废物集中处置单位从事医疗废物收集、运送、贮存、处置中的环境污染防治工作进行定期监督检查或者不定期的抽查。</w:t>
            </w:r>
          </w:p>
        </w:tc>
        <w:tc>
          <w:tcPr>
            <w:tcW w:w="1573" w:type="dxa"/>
            <w:noWrap w:val="0"/>
            <w:vAlign w:val="center"/>
          </w:tcPr>
          <w:p w14:paraId="0E14AA1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生态环境主管部门（</w:t>
            </w:r>
            <w:r>
              <w:rPr>
                <w:rFonts w:hint="eastAsia" w:ascii="仿宋" w:hAnsi="仿宋" w:eastAsia="仿宋" w:cs="仿宋"/>
                <w:color w:val="000000" w:themeColor="text1"/>
                <w:sz w:val="24"/>
                <w:szCs w:val="24"/>
                <w:highlight w:val="none"/>
                <w:lang w:val="en-US" w:eastAsia="zh-CN"/>
                <w14:textFill>
                  <w14:solidFill>
                    <w14:schemeClr w14:val="tx1"/>
                  </w14:solidFill>
                </w14:textFill>
              </w:rPr>
              <w:t>省级、设区的市级</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w:t>
            </w:r>
          </w:p>
        </w:tc>
        <w:tc>
          <w:tcPr>
            <w:tcW w:w="1599" w:type="dxa"/>
            <w:noWrap w:val="0"/>
            <w:vAlign w:val="center"/>
          </w:tcPr>
          <w:p w14:paraId="683EC7E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省生态环境厅固体废物与化学品处、生态环境执法局；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6D268D34">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jc w:val="left"/>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kern w:val="2"/>
                <w:sz w:val="24"/>
                <w:szCs w:val="24"/>
                <w:highlight w:val="none"/>
                <w:lang w:eastAsia="zh-CN"/>
                <w14:textFill>
                  <w14:solidFill>
                    <w14:schemeClr w14:val="tx1"/>
                  </w14:solidFill>
                </w14:textFill>
              </w:rPr>
              <w:t>医疗</w:t>
            </w:r>
            <w:r>
              <w:rPr>
                <w:rFonts w:hint="eastAsia" w:ascii="仿宋" w:hAnsi="仿宋" w:eastAsia="仿宋" w:cs="仿宋"/>
                <w:b w:val="0"/>
                <w:bCs w:val="0"/>
                <w:color w:val="000000" w:themeColor="text1"/>
                <w:kern w:val="2"/>
                <w:sz w:val="24"/>
                <w:szCs w:val="24"/>
                <w:highlight w:val="none"/>
                <w14:textFill>
                  <w14:solidFill>
                    <w14:schemeClr w14:val="tx1"/>
                  </w14:solidFill>
                </w14:textFill>
              </w:rPr>
              <w:t>废物</w:t>
            </w:r>
            <w:r>
              <w:rPr>
                <w:rFonts w:hint="eastAsia" w:ascii="仿宋" w:hAnsi="仿宋" w:eastAsia="仿宋" w:cs="仿宋"/>
                <w:b w:val="0"/>
                <w:bCs w:val="0"/>
                <w:color w:val="000000" w:themeColor="text1"/>
                <w:kern w:val="2"/>
                <w:sz w:val="24"/>
                <w:szCs w:val="24"/>
                <w:highlight w:val="none"/>
                <w:lang w:eastAsia="zh-CN"/>
                <w14:textFill>
                  <w14:solidFill>
                    <w14:schemeClr w14:val="tx1"/>
                  </w14:solidFill>
                </w14:textFill>
              </w:rPr>
              <w:t>产生（</w:t>
            </w:r>
            <w:r>
              <w:rPr>
                <w:rFonts w:hint="eastAsia" w:ascii="仿宋" w:hAnsi="仿宋" w:eastAsia="仿宋" w:cs="仿宋"/>
                <w:b w:val="0"/>
                <w:bCs w:val="0"/>
                <w:color w:val="000000" w:themeColor="text1"/>
                <w:kern w:val="2"/>
                <w:sz w:val="24"/>
                <w:szCs w:val="24"/>
                <w:highlight w:val="none"/>
                <w:lang w:val="en-US" w:eastAsia="zh-CN"/>
                <w14:textFill>
                  <w14:solidFill>
                    <w14:schemeClr w14:val="tx1"/>
                  </w14:solidFill>
                </w14:textFill>
              </w:rPr>
              <w:t>私立医院</w:t>
            </w:r>
            <w:r>
              <w:rPr>
                <w:rFonts w:hint="eastAsia" w:ascii="仿宋" w:hAnsi="仿宋" w:eastAsia="仿宋" w:cs="仿宋"/>
                <w:b w:val="0"/>
                <w:bCs w:val="0"/>
                <w:color w:val="000000" w:themeColor="text1"/>
                <w:kern w:val="2"/>
                <w:sz w:val="24"/>
                <w:szCs w:val="24"/>
                <w:highlight w:val="none"/>
                <w:lang w:eastAsia="zh-CN"/>
                <w14:textFill>
                  <w14:solidFill>
                    <w14:schemeClr w14:val="tx1"/>
                  </w14:solidFill>
                </w14:textFill>
              </w:rPr>
              <w:t>）、</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医疗废物集中处置</w:t>
            </w:r>
            <w:r>
              <w:rPr>
                <w:rFonts w:hint="eastAsia" w:ascii="仿宋" w:hAnsi="仿宋" w:eastAsia="仿宋" w:cs="仿宋"/>
                <w:b w:val="0"/>
                <w:bCs w:val="0"/>
                <w:color w:val="000000" w:themeColor="text1"/>
                <w:kern w:val="2"/>
                <w:sz w:val="24"/>
                <w:szCs w:val="24"/>
                <w:highlight w:val="none"/>
                <w:lang w:val="en-US" w:eastAsia="zh-CN"/>
                <w14:textFill>
                  <w14:solidFill>
                    <w14:schemeClr w14:val="tx1"/>
                  </w14:solidFill>
                </w14:textFill>
              </w:rPr>
              <w:t>的企业</w:t>
            </w:r>
          </w:p>
        </w:tc>
        <w:tc>
          <w:tcPr>
            <w:tcW w:w="1370" w:type="dxa"/>
            <w:noWrap w:val="0"/>
            <w:vAlign w:val="center"/>
          </w:tcPr>
          <w:p w14:paraId="366E4AF6">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jc w:val="left"/>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对医疗废物收集、贮存、利用、处置等活动环境监管检查</w:t>
            </w:r>
          </w:p>
        </w:tc>
        <w:tc>
          <w:tcPr>
            <w:tcW w:w="898" w:type="dxa"/>
            <w:noWrap w:val="0"/>
            <w:vAlign w:val="center"/>
          </w:tcPr>
          <w:p w14:paraId="30558C72">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5C499DD2">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527AC558">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 w:val="0"/>
                <w:bCs w:val="0"/>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38F12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2" w:hRule="atLeast"/>
          <w:jc w:val="center"/>
        </w:trPr>
        <w:tc>
          <w:tcPr>
            <w:tcW w:w="788" w:type="dxa"/>
            <w:noWrap w:val="0"/>
            <w:vAlign w:val="center"/>
          </w:tcPr>
          <w:p w14:paraId="418036F9">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kern w:val="2"/>
                <w:sz w:val="24"/>
                <w:szCs w:val="24"/>
                <w:highlight w:val="none"/>
                <w:lang w:val="en-US" w:eastAsia="zh-CN" w:bidi="ar-SA"/>
                <w14:textFill>
                  <w14:solidFill>
                    <w14:schemeClr w14:val="tx1"/>
                  </w14:solidFill>
                </w14:textFill>
              </w:rPr>
              <w:t>27</w:t>
            </w:r>
          </w:p>
        </w:tc>
        <w:tc>
          <w:tcPr>
            <w:tcW w:w="1723" w:type="dxa"/>
            <w:noWrap w:val="0"/>
            <w:vAlign w:val="center"/>
          </w:tcPr>
          <w:p w14:paraId="1C1E7844">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b w:val="0"/>
                <w:bCs w:val="0"/>
                <w:color w:val="000000" w:themeColor="text1"/>
                <w:kern w:val="0"/>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对新化学物质生产者、进口者和加工使用者是否按要求办理新化学物质环境管理登记情况的</w:t>
            </w: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6E08D8B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1.《新化学物质环境管理登记办法》（生态环境部令第12号，2021年1月1日施行）</w:t>
            </w:r>
          </w:p>
          <w:p w14:paraId="132E3A5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第四十三条 国务院生态环境主管部门应当将新化学物质环境管理登记情况、环境风险控制措施和环境管理要求、首次活动情况、年度报告等信息通报省级生态环境主管部门；省级生态环境主管部门应当将上述信息通报设区的市级生态环境主管部门。</w:t>
            </w:r>
          </w:p>
          <w:p w14:paraId="6BC0242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设区的市级以上生态环境主管部门，应当对新化学物质生产者、进口者和加工使用者是否按要求办理新化学物质环境管理登记、登记事项的真实性、登记证载明事项以及本办法其他相关规定的落实情况进行监督抽查。</w:t>
            </w:r>
          </w:p>
          <w:p w14:paraId="69C038A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sz w:val="24"/>
                <w:szCs w:val="24"/>
                <w:highlight w:val="none"/>
                <w:lang w:val="zh-CN"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新化学物质的研究者、生产者、进口者和加工使用者应当如实提供相关资料，接受生态环境主管部门的监督抽查。</w:t>
            </w:r>
          </w:p>
        </w:tc>
        <w:tc>
          <w:tcPr>
            <w:tcW w:w="1573" w:type="dxa"/>
            <w:noWrap w:val="0"/>
            <w:vAlign w:val="center"/>
          </w:tcPr>
          <w:p w14:paraId="266EFFAF">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生态环境主管部门（</w:t>
            </w:r>
            <w:r>
              <w:rPr>
                <w:rFonts w:hint="eastAsia" w:ascii="仿宋" w:hAnsi="仿宋" w:eastAsia="仿宋" w:cs="仿宋"/>
                <w:color w:val="000000" w:themeColor="text1"/>
                <w:sz w:val="24"/>
                <w:szCs w:val="24"/>
                <w:highlight w:val="none"/>
                <w:lang w:val="en-US" w:eastAsia="zh-CN"/>
                <w14:textFill>
                  <w14:solidFill>
                    <w14:schemeClr w14:val="tx1"/>
                  </w14:solidFill>
                </w14:textFill>
              </w:rPr>
              <w:t>省级、设区的市级</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w:t>
            </w:r>
          </w:p>
        </w:tc>
        <w:tc>
          <w:tcPr>
            <w:tcW w:w="1599" w:type="dxa"/>
            <w:noWrap w:val="0"/>
            <w:vAlign w:val="center"/>
          </w:tcPr>
          <w:p w14:paraId="6A64048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省生态环境厅固体废物与化学品处、生态环境执法局；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0C4A289D">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新化学物质环境管理登记企业</w:t>
            </w:r>
          </w:p>
        </w:tc>
        <w:tc>
          <w:tcPr>
            <w:tcW w:w="1370" w:type="dxa"/>
            <w:noWrap w:val="0"/>
            <w:vAlign w:val="center"/>
          </w:tcPr>
          <w:p w14:paraId="7C98B27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对新化学物质的研究、生产和加工使用情况环境监管检查</w:t>
            </w:r>
          </w:p>
        </w:tc>
        <w:tc>
          <w:tcPr>
            <w:tcW w:w="898" w:type="dxa"/>
            <w:noWrap w:val="0"/>
            <w:vAlign w:val="center"/>
          </w:tcPr>
          <w:p w14:paraId="4CF1F2AB">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64D6A07D">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b w:val="0"/>
                <w:bCs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1ABE2509">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 w:val="0"/>
                <w:bCs w:val="0"/>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0447D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noWrap w:val="0"/>
            <w:vAlign w:val="center"/>
          </w:tcPr>
          <w:p w14:paraId="0BE3DD32">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28</w:t>
            </w:r>
          </w:p>
        </w:tc>
        <w:tc>
          <w:tcPr>
            <w:tcW w:w="1723" w:type="dxa"/>
            <w:noWrap w:val="0"/>
            <w:vAlign w:val="center"/>
          </w:tcPr>
          <w:p w14:paraId="22E5FAC7">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strike w:val="0"/>
                <w:dstrike w:val="0"/>
                <w:color w:val="000000" w:themeColor="text1"/>
                <w:sz w:val="24"/>
                <w:szCs w:val="24"/>
                <w:highlight w:val="none"/>
                <w14:textFill>
                  <w14:solidFill>
                    <w14:schemeClr w14:val="tx1"/>
                  </w14:solidFill>
                </w14:textFill>
              </w:rPr>
              <w:t>对病原微生物实验室废水、废气和危险废物污染防治情况的</w:t>
            </w:r>
            <w:r>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73ECFD3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1.《病原微生物实验室生物安全环境管理办法》（国家环境保护总局令第32号，2006年5月1日施行）</w:t>
            </w:r>
          </w:p>
          <w:p w14:paraId="4E42DBA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strike w:val="0"/>
                <w:dstrike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第十九条 县级以上人民政府环境保护行政主管部门应当定期对管辖范围内的实验室废水、废气和危险废物的污染防治情况进行监督检查。发现有违法行为的，应当责令其限期整改。检查情况和处理结果应当予以记录，由检查人员签字后归档并反馈被检查单位。</w:t>
            </w:r>
          </w:p>
        </w:tc>
        <w:tc>
          <w:tcPr>
            <w:tcW w:w="1573" w:type="dxa"/>
            <w:noWrap w:val="0"/>
            <w:vAlign w:val="center"/>
          </w:tcPr>
          <w:p w14:paraId="517D1F5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strike w:val="0"/>
                <w:dstrike w:val="0"/>
                <w:color w:val="000000" w:themeColor="text1"/>
                <w:sz w:val="24"/>
                <w:szCs w:val="24"/>
                <w:highlight w:val="none"/>
                <w14:textFill>
                  <w14:solidFill>
                    <w14:schemeClr w14:val="tx1"/>
                  </w14:solidFill>
                </w14:textFill>
              </w:rPr>
            </w:pP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生态环境主管部门</w:t>
            </w:r>
            <w:r>
              <w:rPr>
                <w:rFonts w:hint="eastAsia" w:ascii="仿宋" w:hAnsi="仿宋" w:eastAsia="仿宋" w:cs="仿宋"/>
                <w:color w:val="000000" w:themeColor="text1"/>
                <w:sz w:val="24"/>
                <w:szCs w:val="24"/>
                <w:highlight w:val="none"/>
                <w:lang w:val="en-US" w:eastAsia="zh-CN"/>
                <w14:textFill>
                  <w14:solidFill>
                    <w14:schemeClr w14:val="tx1"/>
                  </w14:solidFill>
                </w14:textFill>
              </w:rPr>
              <w:t>（省级、设区的市级）</w:t>
            </w:r>
          </w:p>
        </w:tc>
        <w:tc>
          <w:tcPr>
            <w:tcW w:w="1599" w:type="dxa"/>
            <w:noWrap w:val="0"/>
            <w:vAlign w:val="center"/>
          </w:tcPr>
          <w:p w14:paraId="5BC75DE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strike w:val="0"/>
                <w:dstrike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val="0"/>
                <w:bCs w:val="0"/>
                <w:strike w:val="0"/>
                <w:color w:val="000000" w:themeColor="text1"/>
                <w:sz w:val="24"/>
                <w:szCs w:val="24"/>
                <w:highlight w:val="none"/>
                <w:lang w:val="en-US" w:eastAsia="zh-CN"/>
                <w14:textFill>
                  <w14:solidFill>
                    <w14:schemeClr w14:val="tx1"/>
                  </w14:solidFill>
                </w14:textFill>
              </w:rPr>
              <w:t>省生态环境厅水生态环境处、大气环境与应对气候变化处、固体废物与化学品处、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b w:val="0"/>
                <w:bCs w:val="0"/>
                <w:strike w:val="0"/>
                <w:color w:val="000000" w:themeColor="text1"/>
                <w:sz w:val="24"/>
                <w:szCs w:val="24"/>
                <w:highlight w:val="none"/>
                <w:lang w:val="en-US" w:eastAsia="zh-CN"/>
                <w14:textFill>
                  <w14:solidFill>
                    <w14:schemeClr w14:val="tx1"/>
                  </w14:solidFill>
                </w14:textFill>
              </w:rPr>
              <w:t>；</w:t>
            </w:r>
            <w:r>
              <w:rPr>
                <w:rFonts w:hint="eastAsia" w:ascii="仿宋" w:hAnsi="仿宋" w:eastAsia="仿宋" w:cs="仿宋"/>
                <w:strike w:val="0"/>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strike w:val="0"/>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7B400513">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strike w:val="0"/>
                <w:dstrike w:val="0"/>
                <w:color w:val="000000" w:themeColor="text1"/>
                <w:sz w:val="24"/>
                <w:szCs w:val="24"/>
                <w:highlight w:val="yellow"/>
                <w:lang w:val="en-US" w:eastAsia="zh-CN"/>
                <w14:textFill>
                  <w14:solidFill>
                    <w14:schemeClr w14:val="tx1"/>
                  </w14:solidFill>
                </w14:textFill>
              </w:rPr>
            </w:pPr>
            <w:r>
              <w:rPr>
                <w:rFonts w:hint="eastAsia" w:ascii="仿宋" w:hAnsi="仿宋" w:eastAsia="仿宋" w:cs="仿宋"/>
                <w:strike w:val="0"/>
                <w:dstrike w:val="0"/>
                <w:color w:val="000000" w:themeColor="text1"/>
                <w:sz w:val="24"/>
                <w:szCs w:val="24"/>
                <w:highlight w:val="none"/>
                <w14:textFill>
                  <w14:solidFill>
                    <w14:schemeClr w14:val="tx1"/>
                  </w14:solidFill>
                </w14:textFill>
              </w:rPr>
              <w:t>病原微生物</w:t>
            </w: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实验室（私立医院、企业）</w:t>
            </w:r>
          </w:p>
        </w:tc>
        <w:tc>
          <w:tcPr>
            <w:tcW w:w="1370" w:type="dxa"/>
            <w:noWrap w:val="0"/>
            <w:vAlign w:val="center"/>
          </w:tcPr>
          <w:p w14:paraId="59163C77">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strike w:val="0"/>
                <w:dstrike w:val="0"/>
                <w:color w:val="000000" w:themeColor="text1"/>
                <w:sz w:val="24"/>
                <w:szCs w:val="24"/>
                <w:highlight w:val="yellow"/>
                <w:lang w:val="en-US" w:eastAsia="zh-CN"/>
                <w14:textFill>
                  <w14:solidFill>
                    <w14:schemeClr w14:val="tx1"/>
                  </w14:solidFill>
                </w14:textFill>
              </w:rPr>
            </w:pP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对</w:t>
            </w:r>
            <w:r>
              <w:rPr>
                <w:rFonts w:hint="eastAsia" w:ascii="仿宋" w:hAnsi="仿宋" w:eastAsia="仿宋" w:cs="仿宋"/>
                <w:strike w:val="0"/>
                <w:dstrike w:val="0"/>
                <w:color w:val="000000" w:themeColor="text1"/>
                <w:sz w:val="24"/>
                <w:szCs w:val="24"/>
                <w:highlight w:val="none"/>
                <w14:textFill>
                  <w14:solidFill>
                    <w14:schemeClr w14:val="tx1"/>
                  </w14:solidFill>
                </w14:textFill>
              </w:rPr>
              <w:t>废水、废气和危险废物</w:t>
            </w: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污染防治设施运行情况的监督检查</w:t>
            </w:r>
          </w:p>
        </w:tc>
        <w:tc>
          <w:tcPr>
            <w:tcW w:w="898" w:type="dxa"/>
            <w:noWrap w:val="0"/>
            <w:vAlign w:val="center"/>
          </w:tcPr>
          <w:p w14:paraId="527BBF9E">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strike w:val="0"/>
                <w:dstrike w:val="0"/>
                <w:color w:val="000000" w:themeColor="text1"/>
                <w:sz w:val="24"/>
                <w:szCs w:val="24"/>
                <w:highlight w:val="yellow"/>
                <w:lang w:val="en-US" w:eastAsia="zh-CN"/>
                <w14:textFill>
                  <w14:solidFill>
                    <w14:schemeClr w14:val="tx1"/>
                  </w14:solidFill>
                </w14:textFill>
              </w:rPr>
            </w:pP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现场检查与非现场检查结合</w:t>
            </w:r>
          </w:p>
        </w:tc>
        <w:tc>
          <w:tcPr>
            <w:tcW w:w="1386" w:type="dxa"/>
            <w:noWrap w:val="0"/>
            <w:vAlign w:val="center"/>
          </w:tcPr>
          <w:p w14:paraId="5C281E05">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strike w:val="0"/>
                <w:dstrike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7B933E16">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Cs/>
                <w:strike w:val="0"/>
                <w:dstrike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bookmarkStart w:id="1" w:name="_GoBack"/>
            <w:bookmarkEnd w:id="1"/>
          </w:p>
        </w:tc>
      </w:tr>
      <w:tr w14:paraId="06E5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noWrap w:val="0"/>
            <w:vAlign w:val="center"/>
          </w:tcPr>
          <w:p w14:paraId="39C465E6">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t>29</w:t>
            </w:r>
          </w:p>
        </w:tc>
        <w:tc>
          <w:tcPr>
            <w:tcW w:w="1723" w:type="dxa"/>
            <w:noWrap w:val="0"/>
            <w:vAlign w:val="center"/>
          </w:tcPr>
          <w:p w14:paraId="639F1B75">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对报废机动车回收企业</w:t>
            </w:r>
            <w:r>
              <w:rPr>
                <w:rFonts w:hint="eastAsia" w:ascii="仿宋" w:hAnsi="仿宋" w:eastAsia="仿宋" w:cs="仿宋"/>
                <w:color w:val="000000" w:themeColor="text1"/>
                <w:sz w:val="24"/>
                <w:szCs w:val="24"/>
                <w:highlight w:val="none"/>
                <w:lang w:eastAsia="zh-CN"/>
                <w14:textFill>
                  <w14:solidFill>
                    <w14:schemeClr w14:val="tx1"/>
                  </w14:solidFill>
                </w14:textFill>
              </w:rPr>
              <w:t>的</w:t>
            </w:r>
            <w:r>
              <w:rPr>
                <w:rFonts w:hint="eastAsia" w:ascii="仿宋" w:hAnsi="仿宋" w:eastAsia="仿宋" w:cs="仿宋"/>
                <w:color w:val="000000" w:themeColor="text1"/>
                <w:sz w:val="24"/>
                <w:szCs w:val="24"/>
                <w:highlight w:val="none"/>
                <w14:textFill>
                  <w14:solidFill>
                    <w14:schemeClr w14:val="tx1"/>
                  </w14:solidFill>
                </w14:textFill>
              </w:rPr>
              <w:t>行政检查</w:t>
            </w:r>
          </w:p>
          <w:p w14:paraId="5A6EC683">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strike w:val="0"/>
                <w:dstrike w:val="0"/>
                <w:color w:val="000000" w:themeColor="text1"/>
                <w:sz w:val="24"/>
                <w:szCs w:val="24"/>
                <w:highlight w:val="none"/>
                <w14:textFill>
                  <w14:solidFill>
                    <w14:schemeClr w14:val="tx1"/>
                  </w14:solidFill>
                </w14:textFill>
              </w:rPr>
            </w:pPr>
          </w:p>
        </w:tc>
        <w:tc>
          <w:tcPr>
            <w:tcW w:w="4009" w:type="dxa"/>
            <w:noWrap w:val="0"/>
            <w:vAlign w:val="center"/>
          </w:tcPr>
          <w:p w14:paraId="072430E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1.《报废机动车回收管理办法》（2019年6月1日施行）</w:t>
            </w:r>
          </w:p>
          <w:p w14:paraId="1F80905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第四条 国务院负责报废机动车回收管理的部门主管全国报废机动车回收（含拆解，下同）监督管理工作，国务院公安、生态环境、工业和信息化、交通运输、市场监督管理等部门在各自的职责范围内负责报废机动车回收有关的监督管理工作。</w:t>
            </w:r>
          </w:p>
          <w:p w14:paraId="134AB0A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地方人民政府负责报废机动车回收管理的部门对本行政区域内报废机动车回收活动实施监督管理。县级以上地方人民政府公安、生态环境、工业和信息化、交通运输、市场监督管理等部门在各自的职责范围内对本行政区域内报废机动车回收活动实施有关的监督管理。</w:t>
            </w:r>
          </w:p>
          <w:p w14:paraId="52262CC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第十六条 县级以上地方人民政府负责报废机动车回收管理的部门应当加强对报废机动车回收企业的监督检查，建立和完善以随机抽查为重点的日常监督检查制度，公布抽查事项目录，明确抽查的依据、频次、方式、内容和程序，随机抽取被检查企业，随机选派检查人员。抽查情况和查处结果应当及时向社会公布。</w:t>
            </w:r>
          </w:p>
          <w:p w14:paraId="59DC529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strike w:val="0"/>
                <w:dstrike w:val="0"/>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在监督检查中发现报废机动车回收企业不具备本办法规定的资质认定条件的，应当责令限期改正；拒不改正或者逾期未改正的，由原发证部门吊销资质认定书。</w:t>
            </w:r>
          </w:p>
        </w:tc>
        <w:tc>
          <w:tcPr>
            <w:tcW w:w="1573" w:type="dxa"/>
            <w:noWrap w:val="0"/>
            <w:vAlign w:val="center"/>
          </w:tcPr>
          <w:p w14:paraId="1FE42F3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65F444C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省生态环境厅固体废物与化学品处、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296F7950">
            <w:pPr>
              <w:widowControl w:val="0"/>
              <w:overflowPunct w:val="0"/>
              <w:topLinePunct/>
              <w:spacing w:line="330" w:lineRule="exact"/>
              <w:jc w:val="both"/>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报废机动车回收企业</w:t>
            </w:r>
          </w:p>
        </w:tc>
        <w:tc>
          <w:tcPr>
            <w:tcW w:w="1370" w:type="dxa"/>
            <w:noWrap w:val="0"/>
            <w:vAlign w:val="center"/>
          </w:tcPr>
          <w:p w14:paraId="1C2244E8">
            <w:pPr>
              <w:widowControl w:val="0"/>
              <w:overflowPunct w:val="0"/>
              <w:topLinePunct/>
              <w:spacing w:line="330" w:lineRule="exact"/>
              <w:jc w:val="both"/>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对</w:t>
            </w:r>
            <w:r>
              <w:rPr>
                <w:rFonts w:hint="eastAsia" w:ascii="仿宋" w:hAnsi="仿宋" w:eastAsia="仿宋" w:cs="仿宋"/>
                <w:color w:val="000000" w:themeColor="text1"/>
                <w:sz w:val="24"/>
                <w:szCs w:val="24"/>
                <w:highlight w:val="none"/>
                <w14:textFill>
                  <w14:solidFill>
                    <w14:schemeClr w14:val="tx1"/>
                  </w14:solidFill>
                </w14:textFill>
              </w:rPr>
              <w:t>报废机动车回收活动</w:t>
            </w:r>
            <w:r>
              <w:rPr>
                <w:rFonts w:hint="eastAsia" w:ascii="仿宋" w:hAnsi="仿宋" w:eastAsia="仿宋" w:cs="仿宋"/>
                <w:color w:val="000000" w:themeColor="text1"/>
                <w:sz w:val="24"/>
                <w:szCs w:val="24"/>
                <w:highlight w:val="none"/>
                <w:lang w:eastAsia="zh-CN"/>
                <w14:textFill>
                  <w14:solidFill>
                    <w14:schemeClr w14:val="tx1"/>
                  </w14:solidFill>
                </w14:textFill>
              </w:rPr>
              <w:t>中固体废物等污染防治情况</w:t>
            </w:r>
            <w:r>
              <w:rPr>
                <w:rFonts w:hint="eastAsia" w:ascii="仿宋" w:hAnsi="仿宋" w:eastAsia="仿宋" w:cs="仿宋"/>
                <w:color w:val="000000" w:themeColor="text1"/>
                <w:sz w:val="24"/>
                <w:szCs w:val="24"/>
                <w:highlight w:val="none"/>
                <w14:textFill>
                  <w14:solidFill>
                    <w14:schemeClr w14:val="tx1"/>
                  </w14:solidFill>
                </w14:textFill>
              </w:rPr>
              <w:t>实施监督管理</w:t>
            </w:r>
          </w:p>
        </w:tc>
        <w:tc>
          <w:tcPr>
            <w:tcW w:w="898" w:type="dxa"/>
            <w:noWrap w:val="0"/>
            <w:vAlign w:val="center"/>
          </w:tcPr>
          <w:p w14:paraId="221E04ED">
            <w:pPr>
              <w:widowControl w:val="0"/>
              <w:spacing w:line="320" w:lineRule="exact"/>
              <w:jc w:val="both"/>
              <w:textAlignment w:val="center"/>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5D6BC4EC">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570B7484">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Cs/>
                <w:strike w:val="0"/>
                <w:dstrike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9583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noWrap w:val="0"/>
            <w:vAlign w:val="center"/>
          </w:tcPr>
          <w:p w14:paraId="7E0D5664">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30</w:t>
            </w:r>
          </w:p>
        </w:tc>
        <w:tc>
          <w:tcPr>
            <w:tcW w:w="1723" w:type="dxa"/>
            <w:noWrap w:val="0"/>
            <w:vAlign w:val="center"/>
          </w:tcPr>
          <w:p w14:paraId="71F4DFD1">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对尾矿库运营、管理单位的行政检查</w:t>
            </w:r>
          </w:p>
          <w:p w14:paraId="580D1E69">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strike w:val="0"/>
                <w:dstrike w:val="0"/>
                <w:color w:val="000000" w:themeColor="text1"/>
                <w:sz w:val="24"/>
                <w:szCs w:val="24"/>
                <w:highlight w:val="none"/>
                <w14:textFill>
                  <w14:solidFill>
                    <w14:schemeClr w14:val="tx1"/>
                  </w14:solidFill>
                </w14:textFill>
              </w:rPr>
            </w:pPr>
          </w:p>
        </w:tc>
        <w:tc>
          <w:tcPr>
            <w:tcW w:w="4009" w:type="dxa"/>
            <w:noWrap w:val="0"/>
            <w:vAlign w:val="center"/>
          </w:tcPr>
          <w:p w14:paraId="58042A5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1.《尾矿污染环境防治管理办法》（生态环境部令第26号，2022年7月1日施行）</w:t>
            </w:r>
          </w:p>
          <w:p w14:paraId="7D5102D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第二十一条 尾矿库运营、管理单位在环境监测等活动中发现尾矿库周边土壤和地下水存在污染物渗漏或者含量升高等污染迹象的，应当及时查明原因，采取措施及时阻止污染物泄漏，并按照国家有关规定开展环境调查与风险评估，根据调查与风险评估结果采取风险管控或者治理修复等措施。</w:t>
            </w:r>
          </w:p>
          <w:p w14:paraId="064B52E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strike w:val="0"/>
                <w:dstrike w:val="0"/>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生态环境主管部门在监督检查中发现尾矿库周边土壤和地下水存在污染物渗漏或者含量升高等污染迹象的，应当及时督促尾矿库运营、管理单位采取相应措施。</w:t>
            </w:r>
          </w:p>
        </w:tc>
        <w:tc>
          <w:tcPr>
            <w:tcW w:w="1573" w:type="dxa"/>
            <w:noWrap w:val="0"/>
            <w:vAlign w:val="center"/>
          </w:tcPr>
          <w:p w14:paraId="2D4A50B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21650AC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省生态环境厅固体废物与化学品处、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b w:val="0"/>
                <w:bCs w:val="0"/>
                <w:color w:val="000000" w:themeColor="text1"/>
                <w:kern w:val="2"/>
                <w:sz w:val="24"/>
                <w:szCs w:val="24"/>
                <w:highlight w:val="none"/>
                <w:lang w:val="en" w:eastAsia="zh-CN" w:bidi="ar-SA"/>
                <w14:textFill>
                  <w14:solidFill>
                    <w14:schemeClr w14:val="tx1"/>
                  </w14:solidFill>
                </w14:textFill>
              </w:rPr>
              <w:t>土壤处</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w:t>
            </w:r>
            <w:r>
              <w:rPr>
                <w:rFonts w:hint="eastAsia" w:ascii="仿宋" w:hAnsi="仿宋" w:eastAsia="仿宋" w:cs="仿宋"/>
                <w:b w:val="0"/>
                <w:bCs w:val="0"/>
                <w:color w:val="000000" w:themeColor="text1"/>
                <w:kern w:val="2"/>
                <w:sz w:val="24"/>
                <w:szCs w:val="24"/>
                <w:highlight w:val="none"/>
                <w:lang w:val="en-US" w:eastAsia="zh-CN" w:bidi="ar-SA"/>
                <w14:textFill>
                  <w14:solidFill>
                    <w14:schemeClr w14:val="tx1"/>
                  </w14:solidFill>
                </w14:textFill>
              </w:rPr>
              <w:t>各市（州</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023F53E6">
            <w:pPr>
              <w:widowControl w:val="0"/>
              <w:overflowPunct w:val="0"/>
              <w:topLinePunct/>
              <w:spacing w:line="330" w:lineRule="exact"/>
              <w:jc w:val="both"/>
              <w:rPr>
                <w:rFonts w:hint="eastAsia" w:ascii="仿宋" w:hAnsi="仿宋" w:eastAsia="仿宋" w:cs="仿宋"/>
                <w:strike w:val="0"/>
                <w:dstrike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尾矿库运营、管理</w:t>
            </w:r>
            <w:r>
              <w:rPr>
                <w:rFonts w:hint="eastAsia" w:ascii="仿宋" w:hAnsi="仿宋" w:eastAsia="仿宋" w:cs="仿宋"/>
                <w:color w:val="000000" w:themeColor="text1"/>
                <w:sz w:val="24"/>
                <w:szCs w:val="24"/>
                <w:highlight w:val="none"/>
                <w:lang w:val="en-US" w:eastAsia="zh-CN"/>
                <w14:textFill>
                  <w14:solidFill>
                    <w14:schemeClr w14:val="tx1"/>
                  </w14:solidFill>
                </w14:textFill>
              </w:rPr>
              <w:t>的企业</w:t>
            </w:r>
          </w:p>
        </w:tc>
        <w:tc>
          <w:tcPr>
            <w:tcW w:w="1370" w:type="dxa"/>
            <w:noWrap w:val="0"/>
            <w:vAlign w:val="center"/>
          </w:tcPr>
          <w:p w14:paraId="47CFAFD0">
            <w:pPr>
              <w:widowControl w:val="0"/>
              <w:overflowPunct w:val="0"/>
              <w:topLinePunct/>
              <w:spacing w:line="330" w:lineRule="exact"/>
              <w:jc w:val="both"/>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对</w:t>
            </w:r>
            <w:r>
              <w:rPr>
                <w:rFonts w:hint="eastAsia" w:ascii="仿宋" w:hAnsi="仿宋" w:eastAsia="仿宋" w:cs="仿宋"/>
                <w:color w:val="000000" w:themeColor="text1"/>
                <w:sz w:val="24"/>
                <w:szCs w:val="24"/>
                <w:highlight w:val="none"/>
                <w14:textFill>
                  <w14:solidFill>
                    <w14:schemeClr w14:val="tx1"/>
                  </w14:solidFill>
                </w14:textFill>
              </w:rPr>
              <w:t>尾矿库</w:t>
            </w:r>
            <w:r>
              <w:rPr>
                <w:rFonts w:hint="eastAsia" w:ascii="仿宋" w:hAnsi="仿宋" w:eastAsia="仿宋" w:cs="仿宋"/>
                <w:color w:val="000000" w:themeColor="text1"/>
                <w:sz w:val="24"/>
                <w:szCs w:val="24"/>
                <w:highlight w:val="none"/>
                <w:lang w:eastAsia="zh-CN"/>
                <w14:textFill>
                  <w14:solidFill>
                    <w14:schemeClr w14:val="tx1"/>
                  </w14:solidFill>
                </w14:textFill>
              </w:rPr>
              <w:t>污染防治设施运行和环境风险管控等情况</w:t>
            </w:r>
            <w:r>
              <w:rPr>
                <w:rFonts w:hint="eastAsia" w:ascii="仿宋" w:hAnsi="仿宋" w:eastAsia="仿宋" w:cs="仿宋"/>
                <w:color w:val="000000" w:themeColor="text1"/>
                <w:sz w:val="24"/>
                <w:szCs w:val="24"/>
                <w:highlight w:val="none"/>
                <w14:textFill>
                  <w14:solidFill>
                    <w14:schemeClr w14:val="tx1"/>
                  </w14:solidFill>
                </w14:textFill>
              </w:rPr>
              <w:t>实施监督管理</w:t>
            </w:r>
          </w:p>
        </w:tc>
        <w:tc>
          <w:tcPr>
            <w:tcW w:w="898" w:type="dxa"/>
            <w:noWrap w:val="0"/>
            <w:vAlign w:val="center"/>
          </w:tcPr>
          <w:p w14:paraId="1C9322F1">
            <w:pPr>
              <w:widowControl w:val="0"/>
              <w:spacing w:line="320" w:lineRule="exact"/>
              <w:jc w:val="both"/>
              <w:textAlignment w:val="center"/>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63B8133C">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strike w:val="0"/>
                <w:dstrike w:val="0"/>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6C89EDF1">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bCs/>
                <w:strike w:val="0"/>
                <w:dstrike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A035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2" w:hRule="atLeast"/>
          <w:jc w:val="center"/>
        </w:trPr>
        <w:tc>
          <w:tcPr>
            <w:tcW w:w="788" w:type="dxa"/>
            <w:noWrap w:val="0"/>
            <w:vAlign w:val="center"/>
          </w:tcPr>
          <w:p w14:paraId="5409BC41">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31</w:t>
            </w:r>
          </w:p>
        </w:tc>
        <w:tc>
          <w:tcPr>
            <w:tcW w:w="1723" w:type="dxa"/>
            <w:noWrap w:val="0"/>
            <w:vAlign w:val="center"/>
          </w:tcPr>
          <w:p w14:paraId="08977B22">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0"/>
                <w:sz w:val="24"/>
                <w:szCs w:val="24"/>
                <w:highlight w:val="none"/>
                <w14:textFill>
                  <w14:solidFill>
                    <w14:schemeClr w14:val="tx1"/>
                  </w14:solidFill>
                </w14:textFill>
              </w:rPr>
              <w:t>对核技术利用、伴生放射性矿开发利用中放射性污染防治的监督检查；对放射性废物处理、贮存和处置等活动的监督检查</w:t>
            </w:r>
          </w:p>
        </w:tc>
        <w:tc>
          <w:tcPr>
            <w:tcW w:w="4009" w:type="dxa"/>
            <w:noWrap w:val="0"/>
            <w:vAlign w:val="center"/>
          </w:tcPr>
          <w:p w14:paraId="2051EE9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1.《中华人民共和国放射性污染防治法》（2003年10月1日施行）</w:t>
            </w:r>
          </w:p>
          <w:p w14:paraId="6E0933B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第十一条 国务院环境保护行政主管部门和国务院其他有关部门，按照职责分工，各负其责，互通信息，密切配合，对核设施、铀（钍）矿开发利用中的放射性污染防治进行监督检查。</w:t>
            </w:r>
          </w:p>
          <w:p w14:paraId="754B8C2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县级以上地方人民政府环境保护行政主管部门和同级其他有关部门，按照职责分工，各负其责，互通信息，密切配合，对本行政区域内核技术利用、伴生放射性矿开发利用中的放射性污染防治进行监督检查。</w:t>
            </w:r>
          </w:p>
          <w:p w14:paraId="72CDC73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监督检查人员进行现场检查时，应当出示证件。被检查的单位必须如实反映情况，提供必要的资料。监督检查人员应当为被检查单位保守技术秘密和业务秘密。对涉及国家秘密的单位和部位进行检查时，应当遵守国家有关保守国家秘密的规定，依法办理有关审批手续。</w:t>
            </w:r>
          </w:p>
          <w:p w14:paraId="22E1053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2.《放射性废物安全管理条例》（2012年3月1日施行）</w:t>
            </w:r>
          </w:p>
          <w:p w14:paraId="4691F28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第二十八条 县级以上人民政府环境保护主管部门和其他有关部门，依照《中华人民共和国放射性污染防治法》和本条例的规定，对放射性废物处理、贮存和处置等活动的安全性进行监督检查。</w:t>
            </w:r>
          </w:p>
          <w:p w14:paraId="061A483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3.《放射性同位素与射线装置安全和防护条例》（2019年修订）</w:t>
            </w:r>
          </w:p>
          <w:p w14:paraId="3D81FCC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第四十六条 县级以上人民政府生态环境主管部门和其他有关部门应当按照各自职责对生产、销售、使用放射性同位素和射线装置的单位进行监督检查。</w:t>
            </w:r>
          </w:p>
          <w:p w14:paraId="11370FC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被检查单位应当予以配合，如实反映情况，提供必要的资料，不得拒绝和阻碍。</w:t>
            </w:r>
          </w:p>
          <w:p w14:paraId="1FE48CC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4.《放射性同位素与射线装置安全许可管理办法》（国家环境保护总局令第31号，2017年修正）</w:t>
            </w:r>
          </w:p>
          <w:p w14:paraId="10372D6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第四十三条 县级以上人民政府环境保护主管部门应当对辐射工作单位进行监督检查，对存在的问题，应当提出书面的现场检查意见和整改要求，由检查人员签字或检查单位盖章后交被检查单位，并由被检查单位存档备案。</w:t>
            </w:r>
          </w:p>
          <w:p w14:paraId="6518D27F">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5.《放射性同位素与射线装置安全和防护管理办法》（环境保护部令第18号，2011年5月1日施行）</w:t>
            </w:r>
          </w:p>
          <w:p w14:paraId="461F4BE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p>
          <w:p w14:paraId="7DF7C68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第三十八条 省级以上人民政府环境保护主管部门应当对其依法颁发辐射安全许可证的单位进行监督检查。</w:t>
            </w:r>
          </w:p>
          <w:p w14:paraId="644DED9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省级以上人民政府环境保护主管部门委托下一级环境保护主管部门颁发辐射安全许可证的，接受委托的环境保护主管部门应当对其颁发辐射安全许可证的单位进行监督检查。</w:t>
            </w:r>
          </w:p>
        </w:tc>
        <w:tc>
          <w:tcPr>
            <w:tcW w:w="1573" w:type="dxa"/>
            <w:noWrap w:val="0"/>
            <w:vAlign w:val="center"/>
          </w:tcPr>
          <w:p w14:paraId="4D5B0E3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0345710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省生态环境厅核与辐射管理处、省辐射环境监督站、</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1E1B49C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 w:eastAsia="zh-CN"/>
                <w14:textFill>
                  <w14:solidFill>
                    <w14:schemeClr w14:val="tx1"/>
                  </w14:solidFill>
                </w14:textFill>
              </w:rPr>
              <w:t>全省范围内所有核技术利用</w:t>
            </w:r>
            <w:r>
              <w:rPr>
                <w:rFonts w:hint="eastAsia" w:ascii="仿宋" w:hAnsi="仿宋" w:eastAsia="仿宋" w:cs="仿宋"/>
                <w:color w:val="000000" w:themeColor="text1"/>
                <w:sz w:val="24"/>
                <w:szCs w:val="24"/>
                <w:highlight w:val="none"/>
                <w:lang w:val="en-US" w:eastAsia="zh-CN"/>
                <w14:textFill>
                  <w14:solidFill>
                    <w14:schemeClr w14:val="tx1"/>
                  </w14:solidFill>
                </w14:textFill>
              </w:rPr>
              <w:t>的企业</w:t>
            </w:r>
            <w:r>
              <w:rPr>
                <w:rFonts w:hint="eastAsia" w:ascii="仿宋" w:hAnsi="仿宋" w:eastAsia="仿宋" w:cs="仿宋"/>
                <w:color w:val="000000" w:themeColor="text1"/>
                <w:sz w:val="24"/>
                <w:szCs w:val="24"/>
                <w:highlight w:val="none"/>
                <w:lang w:val="en" w:eastAsia="zh-CN"/>
                <w14:textFill>
                  <w14:solidFill>
                    <w14:schemeClr w14:val="tx1"/>
                  </w14:solidFill>
                </w14:textFill>
              </w:rPr>
              <w:t>、伴生放射性矿开发利用企业、放射性废物</w:t>
            </w:r>
            <w:r>
              <w:rPr>
                <w:rFonts w:hint="eastAsia" w:ascii="仿宋" w:hAnsi="仿宋" w:eastAsia="仿宋" w:cs="仿宋"/>
                <w:color w:val="000000" w:themeColor="text1"/>
                <w:kern w:val="0"/>
                <w:sz w:val="24"/>
                <w:szCs w:val="24"/>
                <w:highlight w:val="none"/>
                <w14:textFill>
                  <w14:solidFill>
                    <w14:schemeClr w14:val="tx1"/>
                  </w14:solidFill>
                </w14:textFill>
              </w:rPr>
              <w:t>处理、贮存和处置等</w:t>
            </w: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的企业</w:t>
            </w:r>
          </w:p>
        </w:tc>
        <w:tc>
          <w:tcPr>
            <w:tcW w:w="1370" w:type="dxa"/>
            <w:noWrap w:val="0"/>
            <w:vAlign w:val="center"/>
          </w:tcPr>
          <w:p w14:paraId="7BF95A77">
            <w:pPr>
              <w:keepNext w:val="0"/>
              <w:keepLines w:val="0"/>
              <w:pageBreakBefore w:val="0"/>
              <w:widowControl w:val="0"/>
              <w:numPr>
                <w:ilvl w:val="0"/>
                <w:numId w:val="2"/>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被检查单位法律法规执行情况</w:t>
            </w:r>
          </w:p>
          <w:p w14:paraId="70BA0C32">
            <w:pPr>
              <w:keepNext w:val="0"/>
              <w:keepLines w:val="0"/>
              <w:pageBreakBefore w:val="0"/>
              <w:widowControl w:val="0"/>
              <w:numPr>
                <w:ilvl w:val="0"/>
                <w:numId w:val="2"/>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辐射安全和防护设施</w:t>
            </w:r>
            <w:r>
              <w:rPr>
                <w:rFonts w:hint="eastAsia" w:ascii="仿宋" w:hAnsi="仿宋" w:eastAsia="仿宋" w:cs="仿宋"/>
                <w:color w:val="000000" w:themeColor="text1"/>
                <w:kern w:val="0"/>
                <w:sz w:val="24"/>
                <w:szCs w:val="24"/>
                <w:highlight w:val="none"/>
                <w:lang w:eastAsia="zh-CN"/>
                <w14:textFill>
                  <w14:solidFill>
                    <w14:schemeClr w14:val="tx1"/>
                  </w14:solidFill>
                </w14:textFill>
              </w:rPr>
              <w:t>设备</w:t>
            </w:r>
            <w:r>
              <w:rPr>
                <w:rFonts w:hint="eastAsia" w:ascii="仿宋" w:hAnsi="仿宋" w:eastAsia="仿宋" w:cs="仿宋"/>
                <w:color w:val="000000" w:themeColor="text1"/>
                <w:sz w:val="24"/>
                <w:szCs w:val="24"/>
                <w:highlight w:val="none"/>
                <w:lang w:eastAsia="zh-CN"/>
                <w14:textFill>
                  <w14:solidFill>
                    <w14:schemeClr w14:val="tx1"/>
                  </w14:solidFill>
                </w14:textFill>
              </w:rPr>
              <w:t>运行与维护情况</w:t>
            </w:r>
          </w:p>
          <w:p w14:paraId="47BD8FD9">
            <w:pPr>
              <w:keepNext w:val="0"/>
              <w:keepLines w:val="0"/>
              <w:pageBreakBefore w:val="0"/>
              <w:widowControl w:val="0"/>
              <w:numPr>
                <w:ilvl w:val="0"/>
                <w:numId w:val="2"/>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辐射安全和防护制度与措施的建立和落实情况</w:t>
            </w:r>
          </w:p>
          <w:p w14:paraId="5EBC6454">
            <w:pPr>
              <w:keepNext w:val="0"/>
              <w:keepLines w:val="0"/>
              <w:pageBreakBefore w:val="0"/>
              <w:widowControl w:val="0"/>
              <w:numPr>
                <w:ilvl w:val="0"/>
                <w:numId w:val="2"/>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《全国核技术利用辐射安全申报系统》数据更新维护情况等</w:t>
            </w:r>
          </w:p>
        </w:tc>
        <w:tc>
          <w:tcPr>
            <w:tcW w:w="898" w:type="dxa"/>
            <w:noWrap w:val="0"/>
            <w:vAlign w:val="center"/>
          </w:tcPr>
          <w:p w14:paraId="2970144F">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7B67944E">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658E77D7">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70DA8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88" w:type="dxa"/>
            <w:noWrap w:val="0"/>
            <w:vAlign w:val="center"/>
          </w:tcPr>
          <w:p w14:paraId="41F46AEA">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32</w:t>
            </w:r>
          </w:p>
        </w:tc>
        <w:tc>
          <w:tcPr>
            <w:tcW w:w="1723" w:type="dxa"/>
            <w:noWrap w:val="0"/>
            <w:vAlign w:val="center"/>
          </w:tcPr>
          <w:p w14:paraId="2049F491">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对放射性物品运输</w:t>
            </w:r>
            <w:r>
              <w:rPr>
                <w:rFonts w:hint="eastAsia" w:ascii="仿宋" w:hAnsi="仿宋" w:eastAsia="仿宋" w:cs="仿宋"/>
                <w:color w:val="000000" w:themeColor="text1"/>
                <w:sz w:val="24"/>
                <w:szCs w:val="24"/>
                <w:highlight w:val="none"/>
                <w:lang w:eastAsia="zh-CN"/>
                <w14:textFill>
                  <w14:solidFill>
                    <w14:schemeClr w14:val="tx1"/>
                  </w14:solidFill>
                </w14:textFill>
              </w:rPr>
              <w:t>核与辐射</w:t>
            </w:r>
            <w:r>
              <w:rPr>
                <w:rFonts w:hint="eastAsia" w:ascii="仿宋" w:hAnsi="仿宋" w:eastAsia="仿宋" w:cs="仿宋"/>
                <w:color w:val="000000" w:themeColor="text1"/>
                <w:sz w:val="24"/>
                <w:szCs w:val="24"/>
                <w:highlight w:val="none"/>
                <w14:textFill>
                  <w14:solidFill>
                    <w14:schemeClr w14:val="tx1"/>
                  </w14:solidFill>
                </w14:textFill>
              </w:rPr>
              <w:t>安全的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1F57C5F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1.《放射性物品运输安全管理条例》（2010年1月1日施行）</w:t>
            </w:r>
          </w:p>
          <w:p w14:paraId="7E3F01E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第四条　国务院核安全监管部门对放射性物品运输的核与辐射安全实施监督管理。</w:t>
            </w:r>
          </w:p>
          <w:p w14:paraId="2CC2257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县级以上地方人民政府环境保护主管部门和公安、交通运输等有关主管部门，依照本条例规定和各自的职责，负责本行政区域放射性物品运输安全的有关监督管理工作。</w:t>
            </w:r>
          </w:p>
          <w:p w14:paraId="16F08E7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第四十四条 国务院核安全监管部门和其他依法履行放射性物品运输安全监督管理职责的部门，应当依据各自职责对放射性物品运输安全实施监督检查。</w:t>
            </w:r>
          </w:p>
          <w:p w14:paraId="349CD81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国务院核安全监管部门应当将其已批准或者备案的一类、二类、三类放射性物品运输容器的设计、制造情况和放射性物品运输情况通报设计、制造单位所在地和运输途经地的省、自治区、直辖市人民政府环境保护主管部门。省、自治区、直辖市人民政府环境保护主管部门应当加强对本行政区域放射性物品运输安全的监督检查和监督性监测。</w:t>
            </w:r>
          </w:p>
          <w:p w14:paraId="57BEAAC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被检查单位应当予以配合，如实反映情况，提供必要的资料，不得拒绝和阻碍。</w:t>
            </w:r>
          </w:p>
          <w:p w14:paraId="0E965D9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2.《放射性物品运输安全监督管理办法》（环境保护部令第38号，2016年5月1日施行）</w:t>
            </w:r>
          </w:p>
          <w:p w14:paraId="4631B41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第三十三条第一、二款 对一类放射性物品的运输，启运地的省、自治区、直辖市环境保护主管部门应当在启运前对放射性物品运输托运人的运输准备情况进行监督检查。</w:t>
            </w:r>
          </w:p>
          <w:p w14:paraId="49378CB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对运输频次比较高、运输活动比较集中的地区，可以根据实际情况制定监督检查计划，原则上检查频次每月不少于一次；对二类放射性物品的运输，可以根据实际情况开展抽查，原则上检查频次每季度不少于一次；对三类放射性物品的运输，可以根据实际情况实施抽查，原则上检查频次每年不少于一次。</w:t>
            </w:r>
          </w:p>
        </w:tc>
        <w:tc>
          <w:tcPr>
            <w:tcW w:w="1573" w:type="dxa"/>
            <w:noWrap w:val="0"/>
            <w:vAlign w:val="center"/>
          </w:tcPr>
          <w:p w14:paraId="570C8BCB">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0622B9B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省生态环境厅核与辐射管理处、省辐射环境监督站、</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256FE14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放射性物品运输相关</w:t>
            </w:r>
            <w:r>
              <w:rPr>
                <w:rFonts w:hint="eastAsia" w:ascii="仿宋" w:hAnsi="仿宋" w:eastAsia="仿宋" w:cs="仿宋"/>
                <w:color w:val="000000" w:themeColor="text1"/>
                <w:sz w:val="24"/>
                <w:szCs w:val="24"/>
                <w:highlight w:val="none"/>
                <w:lang w:val="en-US" w:eastAsia="zh-CN"/>
                <w14:textFill>
                  <w14:solidFill>
                    <w14:schemeClr w14:val="tx1"/>
                  </w14:solidFill>
                </w14:textFill>
              </w:rPr>
              <w:t>的</w:t>
            </w:r>
            <w:r>
              <w:rPr>
                <w:rFonts w:hint="eastAsia" w:ascii="仿宋" w:hAnsi="仿宋" w:eastAsia="仿宋" w:cs="仿宋"/>
                <w:color w:val="000000" w:themeColor="text1"/>
                <w:sz w:val="24"/>
                <w:szCs w:val="24"/>
                <w:highlight w:val="none"/>
                <w:lang w:eastAsia="zh-CN"/>
                <w14:textFill>
                  <w14:solidFill>
                    <w14:schemeClr w14:val="tx1"/>
                  </w14:solidFill>
                </w14:textFill>
              </w:rPr>
              <w:t>企业</w:t>
            </w:r>
          </w:p>
        </w:tc>
        <w:tc>
          <w:tcPr>
            <w:tcW w:w="1370" w:type="dxa"/>
            <w:noWrap w:val="0"/>
            <w:vAlign w:val="center"/>
          </w:tcPr>
          <w:p w14:paraId="750BC98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1.</w:t>
            </w:r>
            <w:r>
              <w:rPr>
                <w:rFonts w:hint="eastAsia" w:ascii="仿宋" w:hAnsi="仿宋" w:eastAsia="仿宋" w:cs="仿宋"/>
                <w:color w:val="000000" w:themeColor="text1"/>
                <w:sz w:val="24"/>
                <w:szCs w:val="24"/>
                <w:highlight w:val="none"/>
                <w:lang w:eastAsia="zh-CN"/>
                <w14:textFill>
                  <w14:solidFill>
                    <w14:schemeClr w14:val="tx1"/>
                  </w14:solidFill>
                </w14:textFill>
              </w:rPr>
              <w:t>被检查单位企业法律法规执行情况</w:t>
            </w:r>
          </w:p>
          <w:p w14:paraId="7EB3FD0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2.</w:t>
            </w:r>
            <w:r>
              <w:rPr>
                <w:rFonts w:hint="eastAsia" w:ascii="仿宋" w:hAnsi="仿宋" w:eastAsia="仿宋" w:cs="仿宋"/>
                <w:color w:val="000000" w:themeColor="text1"/>
                <w:sz w:val="24"/>
                <w:szCs w:val="24"/>
                <w:highlight w:val="none"/>
                <w:lang w:eastAsia="zh-CN"/>
                <w14:textFill>
                  <w14:solidFill>
                    <w14:schemeClr w14:val="tx1"/>
                  </w14:solidFill>
                </w14:textFill>
              </w:rPr>
              <w:t>辐射安全和防护设施设备运行与维护情况</w:t>
            </w:r>
          </w:p>
          <w:p w14:paraId="692D3C96">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lang w:eastAsia="zh-CN"/>
                <w14:textFill>
                  <w14:solidFill>
                    <w14:schemeClr w14:val="tx1"/>
                  </w14:solidFill>
                </w14:textFill>
              </w:rPr>
              <w:t>辐射安全和防护制度与措施的建立和落实情况</w:t>
            </w:r>
          </w:p>
        </w:tc>
        <w:tc>
          <w:tcPr>
            <w:tcW w:w="898" w:type="dxa"/>
            <w:noWrap w:val="0"/>
            <w:vAlign w:val="center"/>
          </w:tcPr>
          <w:p w14:paraId="48FE2DF5">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73B717B0">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13BB7464">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5516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44151B0D">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33</w:t>
            </w:r>
          </w:p>
        </w:tc>
        <w:tc>
          <w:tcPr>
            <w:tcW w:w="1723" w:type="dxa"/>
            <w:noWrap w:val="0"/>
            <w:vAlign w:val="center"/>
          </w:tcPr>
          <w:p w14:paraId="449D9D25">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对排放电磁辐射污染的企业事业单位和其他生产经营者行政检查</w:t>
            </w:r>
          </w:p>
        </w:tc>
        <w:tc>
          <w:tcPr>
            <w:tcW w:w="4009" w:type="dxa"/>
            <w:noWrap w:val="0"/>
            <w:vAlign w:val="center"/>
          </w:tcPr>
          <w:p w14:paraId="039D803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1.《中华人民共和国环境保护法》（2014年修订）</w:t>
            </w:r>
          </w:p>
          <w:p w14:paraId="79E4052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14:paraId="47289CF5">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第四十二条 排放污染物的企业事业单位和其他生产经营者，应当采取措施，防治在生产建设或者其他活动中产生的废气、废水、废渣、医疗废物、粉尘、恶臭气体、放射性物质以及噪声、振动、光辐射、电磁辐射等对环境的污染和危害。</w:t>
            </w:r>
          </w:p>
          <w:p w14:paraId="01E90A1F">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排放污染物的企业事业单位，应当建立环境保护责任制度，明确单位负责人和相关人员的责任。</w:t>
            </w:r>
          </w:p>
          <w:p w14:paraId="068148B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重点排污单位应当按照国家有关规定和监测规范安装使用监测设备，保证监测设备正常运行，保存原始监测记录。</w:t>
            </w:r>
          </w:p>
        </w:tc>
        <w:tc>
          <w:tcPr>
            <w:tcW w:w="1573" w:type="dxa"/>
            <w:noWrap w:val="0"/>
            <w:vAlign w:val="center"/>
          </w:tcPr>
          <w:p w14:paraId="333F6E5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CBC37E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省生态环境厅核与辐射管理处、省辐射环境监督站、</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03E706C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 w:eastAsia="zh-CN"/>
                <w14:textFill>
                  <w14:solidFill>
                    <w14:schemeClr w14:val="tx1"/>
                  </w14:solidFill>
                </w14:textFill>
              </w:rPr>
              <w:t>全省范围内排放电磁辐射污染的企业和其他生产经营者</w:t>
            </w:r>
          </w:p>
        </w:tc>
        <w:tc>
          <w:tcPr>
            <w:tcW w:w="1370" w:type="dxa"/>
            <w:noWrap w:val="0"/>
            <w:vAlign w:val="center"/>
          </w:tcPr>
          <w:p w14:paraId="45D610C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被检查单位法律法规执行情况、辐射安全和防护设施</w:t>
            </w:r>
            <w:r>
              <w:rPr>
                <w:rFonts w:hint="eastAsia" w:ascii="仿宋" w:hAnsi="仿宋" w:eastAsia="仿宋" w:cs="仿宋"/>
                <w:color w:val="000000" w:themeColor="text1"/>
                <w:kern w:val="0"/>
                <w:sz w:val="24"/>
                <w:szCs w:val="24"/>
                <w:highlight w:val="none"/>
                <w:lang w:eastAsia="zh-CN"/>
                <w14:textFill>
                  <w14:solidFill>
                    <w14:schemeClr w14:val="tx1"/>
                  </w14:solidFill>
                </w14:textFill>
              </w:rPr>
              <w:t>设备</w:t>
            </w:r>
            <w:r>
              <w:rPr>
                <w:rFonts w:hint="eastAsia" w:ascii="仿宋" w:hAnsi="仿宋" w:eastAsia="仿宋" w:cs="仿宋"/>
                <w:color w:val="000000" w:themeColor="text1"/>
                <w:sz w:val="24"/>
                <w:szCs w:val="24"/>
                <w:highlight w:val="none"/>
                <w:lang w:eastAsia="zh-CN"/>
                <w14:textFill>
                  <w14:solidFill>
                    <w14:schemeClr w14:val="tx1"/>
                  </w14:solidFill>
                </w14:textFill>
              </w:rPr>
              <w:t>运行与维护情况、辐射安全和防护制度与措施的建立和落实情况等。</w:t>
            </w:r>
          </w:p>
        </w:tc>
        <w:tc>
          <w:tcPr>
            <w:tcW w:w="898" w:type="dxa"/>
            <w:noWrap w:val="0"/>
            <w:vAlign w:val="center"/>
          </w:tcPr>
          <w:p w14:paraId="147BADD6">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0C9516A2">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0EBACF39">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585F5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jc w:val="center"/>
        </w:trPr>
        <w:tc>
          <w:tcPr>
            <w:tcW w:w="788" w:type="dxa"/>
            <w:noWrap w:val="0"/>
            <w:vAlign w:val="center"/>
          </w:tcPr>
          <w:p w14:paraId="55A29FB6">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34</w:t>
            </w:r>
          </w:p>
        </w:tc>
        <w:tc>
          <w:tcPr>
            <w:tcW w:w="1723" w:type="dxa"/>
            <w:noWrap w:val="0"/>
            <w:vAlign w:val="center"/>
          </w:tcPr>
          <w:p w14:paraId="7DFF067A">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t>对排污许可事中事后的行政检查</w:t>
            </w:r>
          </w:p>
        </w:tc>
        <w:tc>
          <w:tcPr>
            <w:tcW w:w="4009" w:type="dxa"/>
            <w:noWrap w:val="0"/>
            <w:vAlign w:val="center"/>
          </w:tcPr>
          <w:p w14:paraId="3980235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1.《排污许可管理条例》（2021年3月1日施行）</w:t>
            </w:r>
          </w:p>
          <w:p w14:paraId="613F5C4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第二十五条第一款 生态环境主管部门应当加强对排污许可的事中事后监管，将排污许可执法检查纳入生态环境执法年度计划，根据排污许可管理类别、排污单位信用记录和生态环境管理需要等因素，合理确定检查频次和检查方式。</w:t>
            </w:r>
          </w:p>
          <w:p w14:paraId="5CD3E3A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pPr>
            <w:r>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t>2.《排污许可管理办法》（生态环境部令第32号，2024年7月1日施行）</w:t>
            </w:r>
          </w:p>
          <w:p w14:paraId="660D455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t>第四十条第一款  生态环境主管部门应当将排污许可证和排污登记信息纳入执法监管数据库，将排污许可执法检查纳入生态环境执法年度计划，加强对排污许可证记载事项的清单式执法检查。</w:t>
            </w:r>
          </w:p>
        </w:tc>
        <w:tc>
          <w:tcPr>
            <w:tcW w:w="1573" w:type="dxa"/>
            <w:noWrap w:val="0"/>
            <w:vAlign w:val="center"/>
          </w:tcPr>
          <w:p w14:paraId="7EEED79D">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2368263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省生态环境厅环境影响评价与排放管理处、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3A2DC2E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纳入固定污染源排污许可重点或简化管理的排污企业</w:t>
            </w:r>
          </w:p>
        </w:tc>
        <w:tc>
          <w:tcPr>
            <w:tcW w:w="1370" w:type="dxa"/>
            <w:noWrap w:val="0"/>
            <w:vAlign w:val="center"/>
          </w:tcPr>
          <w:p w14:paraId="48B2108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排污许可证质量、排污许可证与现场一致性、排污许可要求执行情况监督检查</w:t>
            </w:r>
          </w:p>
        </w:tc>
        <w:tc>
          <w:tcPr>
            <w:tcW w:w="898" w:type="dxa"/>
            <w:noWrap w:val="0"/>
            <w:vAlign w:val="center"/>
          </w:tcPr>
          <w:p w14:paraId="3BCB05C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现场检查、非现场检查相结合</w:t>
            </w:r>
          </w:p>
        </w:tc>
        <w:tc>
          <w:tcPr>
            <w:tcW w:w="1386" w:type="dxa"/>
            <w:noWrap w:val="0"/>
            <w:vAlign w:val="center"/>
          </w:tcPr>
          <w:p w14:paraId="045E55C6">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0EDB6B91">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77F59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7C7704D7">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35</w:t>
            </w:r>
          </w:p>
        </w:tc>
        <w:tc>
          <w:tcPr>
            <w:tcW w:w="1723" w:type="dxa"/>
            <w:noWrap w:val="0"/>
            <w:vAlign w:val="center"/>
          </w:tcPr>
          <w:p w14:paraId="3D6EA88B">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对建设项目投入生产或者使用后所产生的环境影响的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7E62064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1.《中华人民共和国环境影响评价法》（2018年修正）</w:t>
            </w:r>
          </w:p>
          <w:p w14:paraId="69DA317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第二十八条 生态环境主管部门应当对建设项目投入生产或者使用后所产生的环境影响进行跟踪检查，对造成严重环境污染或者生态破坏的，应当查清原因、查明责任。对属于建设项目环境影响报告书、环境影响报告表存在基础资料明显不实，内容存在重大缺陷、遗漏或者虚假，环境影响评价结论不正确或者不合理等严重质量问题的，依照本法第三十二条的规定追究建设单位及其相关责任人员和接受委托编制建设项目环境影响报告书、环境影响报告表的技术单位及其相关人员的法律责任；属于审批部门工作人员失职、渎职，对依法不应批准的建设项目环境影响报告书、环境影响报告表予以批准的，依照本法第三十四条的规定追究其法律责任。</w:t>
            </w:r>
          </w:p>
          <w:p w14:paraId="164C86A7">
            <w:pPr>
              <w:keepNext w:val="0"/>
              <w:keepLines w:val="0"/>
              <w:widowControl w:val="0"/>
              <w:suppressLineNumbers w:val="0"/>
              <w:snapToGrid/>
              <w:spacing w:before="0" w:beforeLines="0" w:beforeAutospacing="0" w:after="0" w:afterLines="0" w:afterAutospacing="0" w:line="240" w:lineRule="auto"/>
              <w:ind w:left="0" w:right="0" w:firstLine="0" w:firstLineChars="0"/>
              <w:rPr>
                <w:rFonts w:hint="eastAsia" w:ascii="仿宋" w:hAnsi="仿宋" w:eastAsia="仿宋" w:cs="仿宋"/>
                <w:b w:val="0"/>
                <w:bCs w:val="0"/>
                <w:color w:val="000000" w:themeColor="text1"/>
                <w:sz w:val="24"/>
                <w:szCs w:val="24"/>
                <w:highlight w:val="none"/>
                <w:lang w:val="en-US" w:eastAsia="zh-CN" w:bidi="ar"/>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bidi="ar"/>
                <w14:textFill>
                  <w14:solidFill>
                    <w14:schemeClr w14:val="tx1"/>
                  </w14:solidFill>
                </w14:textFill>
              </w:rPr>
              <w:t>2.《建设项目环境保护管理条例》（2017年修订）</w:t>
            </w:r>
          </w:p>
          <w:p w14:paraId="3378B7B8">
            <w:pPr>
              <w:keepNext w:val="0"/>
              <w:keepLines w:val="0"/>
              <w:widowControl w:val="0"/>
              <w:suppressLineNumbers w:val="0"/>
              <w:snapToGrid/>
              <w:spacing w:before="0" w:beforeLines="0" w:beforeAutospacing="0" w:after="0" w:afterLines="0" w:afterAutospacing="0" w:line="240" w:lineRule="auto"/>
              <w:ind w:left="0" w:right="0" w:firstLine="0" w:firstLineChars="0"/>
              <w:rPr>
                <w:rFonts w:hint="eastAsia" w:ascii="仿宋" w:hAnsi="仿宋" w:eastAsia="仿宋" w:cs="仿宋"/>
                <w:bCs w:val="0"/>
                <w:color w:val="000000" w:themeColor="text1"/>
                <w:sz w:val="24"/>
                <w:szCs w:val="24"/>
                <w:highlight w:val="none"/>
                <w:lang w:bidi="ar"/>
                <w14:textFill>
                  <w14:solidFill>
                    <w14:schemeClr w14:val="tx1"/>
                  </w14:solidFill>
                </w14:textFill>
              </w:rPr>
            </w:pPr>
            <w:r>
              <w:rPr>
                <w:rFonts w:hint="eastAsia" w:ascii="仿宋" w:hAnsi="仿宋" w:eastAsia="仿宋" w:cs="仿宋"/>
                <w:bCs w:val="0"/>
                <w:color w:val="000000" w:themeColor="text1"/>
                <w:sz w:val="24"/>
                <w:szCs w:val="24"/>
                <w:highlight w:val="none"/>
                <w:lang w:bidi="ar"/>
                <w14:textFill>
                  <w14:solidFill>
                    <w14:schemeClr w14:val="tx1"/>
                  </w14:solidFill>
                </w14:textFill>
              </w:rPr>
              <w:t>第二十一条　建设单位有下列行为之一的，依照《中华人民共和国环境影响评价法》的规定处罚：</w:t>
            </w:r>
          </w:p>
          <w:p w14:paraId="79C9F675">
            <w:pPr>
              <w:keepNext w:val="0"/>
              <w:keepLines w:val="0"/>
              <w:widowControl w:val="0"/>
              <w:suppressLineNumbers w:val="0"/>
              <w:snapToGrid/>
              <w:spacing w:before="0" w:beforeLines="0" w:beforeAutospacing="0" w:after="0" w:afterLines="0" w:afterAutospacing="0" w:line="240" w:lineRule="auto"/>
              <w:ind w:left="0" w:right="0" w:firstLine="0" w:firstLineChars="0"/>
              <w:rPr>
                <w:rFonts w:hint="eastAsia" w:ascii="仿宋" w:hAnsi="仿宋" w:eastAsia="仿宋" w:cs="仿宋"/>
                <w:bCs w:val="0"/>
                <w:color w:val="000000" w:themeColor="text1"/>
                <w:sz w:val="24"/>
                <w:szCs w:val="24"/>
                <w:highlight w:val="none"/>
                <w:lang w:bidi="ar"/>
                <w14:textFill>
                  <w14:solidFill>
                    <w14:schemeClr w14:val="tx1"/>
                  </w14:solidFill>
                </w14:textFill>
              </w:rPr>
            </w:pPr>
            <w:r>
              <w:rPr>
                <w:rFonts w:hint="eastAsia" w:ascii="仿宋" w:hAnsi="仿宋" w:eastAsia="仿宋" w:cs="仿宋"/>
                <w:bCs w:val="0"/>
                <w:color w:val="000000" w:themeColor="text1"/>
                <w:sz w:val="24"/>
                <w:szCs w:val="24"/>
                <w:highlight w:val="none"/>
                <w:lang w:bidi="ar"/>
                <w14:textFill>
                  <w14:solidFill>
                    <w14:schemeClr w14:val="tx1"/>
                  </w14:solidFill>
                </w14:textFill>
              </w:rPr>
              <w:t>(一)建设项目环境影响报告书、环境影响报告表未依法报批或者报请重新审核，擅自开工建设;</w:t>
            </w:r>
          </w:p>
          <w:p w14:paraId="5FAC8581">
            <w:pPr>
              <w:keepNext w:val="0"/>
              <w:keepLines w:val="0"/>
              <w:widowControl w:val="0"/>
              <w:suppressLineNumbers w:val="0"/>
              <w:snapToGrid/>
              <w:spacing w:before="0" w:beforeLines="0" w:beforeAutospacing="0" w:after="0" w:afterLines="0" w:afterAutospacing="0" w:line="240" w:lineRule="auto"/>
              <w:ind w:left="0" w:right="0" w:firstLine="0" w:firstLineChars="0"/>
              <w:rPr>
                <w:rFonts w:hint="eastAsia" w:ascii="仿宋" w:hAnsi="仿宋" w:eastAsia="仿宋" w:cs="仿宋"/>
                <w:bCs w:val="0"/>
                <w:color w:val="000000" w:themeColor="text1"/>
                <w:sz w:val="24"/>
                <w:szCs w:val="24"/>
                <w:highlight w:val="none"/>
                <w:lang w:bidi="ar"/>
                <w14:textFill>
                  <w14:solidFill>
                    <w14:schemeClr w14:val="tx1"/>
                  </w14:solidFill>
                </w14:textFill>
              </w:rPr>
            </w:pPr>
            <w:r>
              <w:rPr>
                <w:rFonts w:hint="eastAsia" w:ascii="仿宋" w:hAnsi="仿宋" w:eastAsia="仿宋" w:cs="仿宋"/>
                <w:bCs w:val="0"/>
                <w:color w:val="000000" w:themeColor="text1"/>
                <w:sz w:val="24"/>
                <w:szCs w:val="24"/>
                <w:highlight w:val="none"/>
                <w:lang w:bidi="ar"/>
                <w14:textFill>
                  <w14:solidFill>
                    <w14:schemeClr w14:val="tx1"/>
                  </w14:solidFill>
                </w14:textFill>
              </w:rPr>
              <w:t>(二)建设项目环境影响报告书、环境影响报告表未经批准或者重新审核同意，擅自开工建设;</w:t>
            </w:r>
          </w:p>
          <w:p w14:paraId="2D2F9C4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val="0"/>
                <w:color w:val="000000" w:themeColor="text1"/>
                <w:sz w:val="24"/>
                <w:szCs w:val="24"/>
                <w:highlight w:val="none"/>
                <w:lang w:bidi="ar"/>
                <w14:textFill>
                  <w14:solidFill>
                    <w14:schemeClr w14:val="tx1"/>
                  </w14:solidFill>
                </w14:textFill>
              </w:rPr>
            </w:pPr>
            <w:r>
              <w:rPr>
                <w:rFonts w:hint="eastAsia" w:ascii="仿宋" w:hAnsi="仿宋" w:eastAsia="仿宋" w:cs="仿宋"/>
                <w:bCs w:val="0"/>
                <w:color w:val="000000" w:themeColor="text1"/>
                <w:sz w:val="24"/>
                <w:szCs w:val="24"/>
                <w:highlight w:val="none"/>
                <w:lang w:bidi="ar"/>
                <w14:textFill>
                  <w14:solidFill>
                    <w14:schemeClr w14:val="tx1"/>
                  </w14:solidFill>
                </w14:textFill>
              </w:rPr>
              <w:t>(三)建设项目环境影响登记表未依法备案。</w:t>
            </w:r>
          </w:p>
          <w:p w14:paraId="28F4B2C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pPr>
            <w:r>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t>3.《建设项目环境影响登记表备案管理办法》（环境保护部令第41号，2017年1月1日施行）</w:t>
            </w:r>
          </w:p>
          <w:p w14:paraId="0EE4284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pPr>
            <w:r>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t>第十七条  环境保护主管部门或者其他负有环境保护监督管理职责的部门可以采取抽查、根据举报进行检查等方式，对建设单位遵守本办法规定的情况开展监督检查，并根据监督检查认定的事实，按照以下情形处理：</w:t>
            </w:r>
          </w:p>
          <w:p w14:paraId="0D81CF40">
            <w:pPr>
              <w:keepNext w:val="0"/>
              <w:keepLines w:val="0"/>
              <w:widowControl w:val="0"/>
              <w:numPr>
                <w:ilvl w:val="-1"/>
                <w:numId w:val="0"/>
              </w:numPr>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pPr>
            <w:r>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t>构成行政违法的，依照有关环境保护法律法规和规定，予以行政处罚；</w:t>
            </w:r>
          </w:p>
          <w:p w14:paraId="694D1CE9">
            <w:pPr>
              <w:keepNext w:val="0"/>
              <w:keepLines w:val="0"/>
              <w:widowControl w:val="0"/>
              <w:numPr>
                <w:ilvl w:val="-1"/>
                <w:numId w:val="0"/>
              </w:numPr>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pPr>
            <w:r>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t>构成环境侵权的，依法承担环境侵权责任；</w:t>
            </w:r>
          </w:p>
          <w:p w14:paraId="0D013D6B">
            <w:pPr>
              <w:keepNext w:val="0"/>
              <w:keepLines w:val="0"/>
              <w:widowControl w:val="0"/>
              <w:numPr>
                <w:ilvl w:val="-1"/>
                <w:numId w:val="0"/>
              </w:numPr>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pPr>
            <w:r>
              <w:rPr>
                <w:rFonts w:hint="eastAsia" w:ascii="仿宋" w:hAnsi="仿宋" w:eastAsia="仿宋" w:cs="仿宋"/>
                <w:bCs w:val="0"/>
                <w:color w:val="000000" w:themeColor="text1"/>
                <w:sz w:val="24"/>
                <w:szCs w:val="24"/>
                <w:highlight w:val="none"/>
                <w:lang w:val="en-US" w:eastAsia="zh-CN" w:bidi="ar"/>
                <w14:textFill>
                  <w14:solidFill>
                    <w14:schemeClr w14:val="tx1"/>
                  </w14:solidFill>
                </w14:textFill>
              </w:rPr>
              <w:t xml:space="preserve">涉嫌构成犯罪的，依法移送司法机关。  </w:t>
            </w:r>
          </w:p>
          <w:p w14:paraId="1799ECE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color w:val="000000" w:themeColor="text1"/>
                <w:sz w:val="24"/>
                <w:szCs w:val="24"/>
                <w:highlight w:val="none"/>
                <w14:textFill>
                  <w14:solidFill>
                    <w14:schemeClr w14:val="tx1"/>
                  </w14:solidFill>
                </w14:textFill>
              </w:rPr>
            </w:pPr>
          </w:p>
        </w:tc>
        <w:tc>
          <w:tcPr>
            <w:tcW w:w="1573" w:type="dxa"/>
            <w:noWrap w:val="0"/>
            <w:vAlign w:val="center"/>
          </w:tcPr>
          <w:p w14:paraId="04AA67C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0C31CD63">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省生态环境厅环境影响评价与排放管理处、</w:t>
            </w:r>
            <w:r>
              <w:rPr>
                <w:rFonts w:hint="eastAsia" w:ascii="仿宋" w:hAnsi="仿宋" w:eastAsia="仿宋" w:cs="仿宋"/>
                <w:color w:val="000000" w:themeColor="text1"/>
                <w:kern w:val="2"/>
                <w:sz w:val="24"/>
                <w:szCs w:val="24"/>
                <w:lang w:val="en-US" w:eastAsia="zh-CN" w:bidi="ar"/>
                <w14:textFill>
                  <w14:solidFill>
                    <w14:schemeClr w14:val="tx1"/>
                  </w14:solidFill>
                </w14:textFill>
              </w:rPr>
              <w:t>核与辐射管理处、省辐射环境监督站、</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22EAB850">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相关项目建设企业、环评文件技术企业、环评文件编制人员</w:t>
            </w:r>
          </w:p>
        </w:tc>
        <w:tc>
          <w:tcPr>
            <w:tcW w:w="1370" w:type="dxa"/>
            <w:noWrap w:val="0"/>
            <w:vAlign w:val="center"/>
          </w:tcPr>
          <w:p w14:paraId="2CE0F05B">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环评文件及批文提出的环境保护措施、环境管理要求等落实情况；</w:t>
            </w:r>
          </w:p>
          <w:p w14:paraId="13AF7E2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建设项目投入生产或者使用后所产生的环境影响；</w:t>
            </w:r>
          </w:p>
          <w:p w14:paraId="1EEB6DC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建设项目环评文件是否存在基础资料明显不实，内容存在重大缺陷、遗漏或者虚假，环境影响评价结论不正确或者不合理等严重质量问题；</w:t>
            </w:r>
          </w:p>
          <w:p w14:paraId="2005F03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建设项目是否存在降级管理或</w:t>
            </w:r>
            <w:r>
              <w:rPr>
                <w:rFonts w:hint="eastAsia" w:ascii="仿宋" w:hAnsi="仿宋" w:eastAsia="仿宋" w:cs="仿宋"/>
                <w:bCs/>
                <w:color w:val="000000" w:themeColor="text1"/>
                <w:sz w:val="24"/>
                <w:szCs w:val="24"/>
                <w:highlight w:val="none"/>
                <w14:textFill>
                  <w14:solidFill>
                    <w14:schemeClr w14:val="tx1"/>
                  </w14:solidFill>
                </w14:textFill>
              </w:rPr>
              <w:t>环境影响登记表未依法备案</w:t>
            </w:r>
            <w:r>
              <w:rPr>
                <w:rFonts w:hint="eastAsia" w:ascii="仿宋" w:hAnsi="仿宋" w:eastAsia="仿宋" w:cs="仿宋"/>
                <w:bCs/>
                <w:color w:val="000000" w:themeColor="text1"/>
                <w:sz w:val="24"/>
                <w:szCs w:val="24"/>
                <w:highlight w:val="none"/>
                <w:lang w:eastAsia="zh-CN"/>
                <w14:textFill>
                  <w14:solidFill>
                    <w14:schemeClr w14:val="tx1"/>
                  </w14:solidFill>
                </w14:textFill>
              </w:rPr>
              <w:t>的问题。</w:t>
            </w:r>
          </w:p>
        </w:tc>
        <w:tc>
          <w:tcPr>
            <w:tcW w:w="898" w:type="dxa"/>
            <w:noWrap w:val="0"/>
            <w:vAlign w:val="center"/>
          </w:tcPr>
          <w:p w14:paraId="255511A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694D1BC3">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3BE6B605">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6456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7" w:hRule="atLeast"/>
          <w:jc w:val="center"/>
        </w:trPr>
        <w:tc>
          <w:tcPr>
            <w:tcW w:w="788" w:type="dxa"/>
            <w:noWrap w:val="0"/>
            <w:vAlign w:val="center"/>
          </w:tcPr>
          <w:p w14:paraId="342B069B">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36</w:t>
            </w:r>
          </w:p>
        </w:tc>
        <w:tc>
          <w:tcPr>
            <w:tcW w:w="1723" w:type="dxa"/>
            <w:noWrap w:val="0"/>
            <w:vAlign w:val="center"/>
          </w:tcPr>
          <w:p w14:paraId="2BDC710B">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对规划实施过程中产生重大不良环境影响的</w:t>
            </w:r>
            <w:r>
              <w:rPr>
                <w:rFonts w:hint="eastAsia" w:ascii="仿宋" w:hAnsi="仿宋" w:eastAsia="仿宋" w:cs="仿宋"/>
                <w:color w:val="000000" w:themeColor="text1"/>
                <w:sz w:val="24"/>
                <w:szCs w:val="24"/>
                <w:highlight w:val="none"/>
                <w:lang w:eastAsia="zh-CN"/>
                <w14:textFill>
                  <w14:solidFill>
                    <w14:schemeClr w14:val="tx1"/>
                  </w14:solidFill>
                </w14:textFill>
              </w:rPr>
              <w:t>行政检查</w:t>
            </w:r>
          </w:p>
        </w:tc>
        <w:tc>
          <w:tcPr>
            <w:tcW w:w="4009" w:type="dxa"/>
            <w:noWrap w:val="0"/>
            <w:vAlign w:val="center"/>
          </w:tcPr>
          <w:p w14:paraId="7BA01EE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1.《规划环境影响评价条例》（2009年10月1日施行）</w:t>
            </w:r>
          </w:p>
          <w:p w14:paraId="38F8444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第二十八条 环境保护主管部门发现规划实施过程中产生重大不良环境影响的，应当及时进行核查。经核查属实的，向规划审批机关提出采取改进措施或者修订规划的建议。</w:t>
            </w:r>
          </w:p>
        </w:tc>
        <w:tc>
          <w:tcPr>
            <w:tcW w:w="1573" w:type="dxa"/>
            <w:noWrap w:val="0"/>
            <w:vAlign w:val="center"/>
          </w:tcPr>
          <w:p w14:paraId="476584B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5C66653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省生态环境厅环境影响评价与排放管理处、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21F334E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规划环评文件技术企业、规划环评文件编制人员</w:t>
            </w:r>
          </w:p>
        </w:tc>
        <w:tc>
          <w:tcPr>
            <w:tcW w:w="1370" w:type="dxa"/>
            <w:noWrap w:val="0"/>
            <w:vAlign w:val="center"/>
          </w:tcPr>
          <w:p w14:paraId="060555F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核查相关规划环评文件、审查意见提出的环保措施、环境风险防范措施等落实情况和落实过程中产生的不良影响</w:t>
            </w:r>
          </w:p>
        </w:tc>
        <w:tc>
          <w:tcPr>
            <w:tcW w:w="898" w:type="dxa"/>
            <w:noWrap w:val="0"/>
            <w:vAlign w:val="center"/>
          </w:tcPr>
          <w:p w14:paraId="4D569C0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15DE59D6">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301DCF86">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0D99A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2" w:hRule="atLeast"/>
          <w:jc w:val="center"/>
        </w:trPr>
        <w:tc>
          <w:tcPr>
            <w:tcW w:w="788" w:type="dxa"/>
            <w:noWrap w:val="0"/>
            <w:vAlign w:val="center"/>
          </w:tcPr>
          <w:p w14:paraId="39EA66B8">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37</w:t>
            </w:r>
          </w:p>
        </w:tc>
        <w:tc>
          <w:tcPr>
            <w:tcW w:w="1723" w:type="dxa"/>
            <w:noWrap w:val="0"/>
            <w:vAlign w:val="center"/>
          </w:tcPr>
          <w:p w14:paraId="59E4B2E1">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0"/>
                <w:sz w:val="24"/>
                <w:szCs w:val="24"/>
                <w:highlight w:val="none"/>
                <w14:textFill>
                  <w14:solidFill>
                    <w14:schemeClr w14:val="tx1"/>
                  </w14:solidFill>
                </w14:textFill>
              </w:rPr>
              <w:t>对环境影响报告书（表）编制单位和编制人员的</w:t>
            </w:r>
            <w:r>
              <w:rPr>
                <w:rFonts w:hint="eastAsia" w:ascii="仿宋" w:hAnsi="仿宋" w:eastAsia="仿宋" w:cs="仿宋"/>
                <w:color w:val="000000" w:themeColor="text1"/>
                <w:kern w:val="0"/>
                <w:sz w:val="24"/>
                <w:szCs w:val="24"/>
                <w:highlight w:val="none"/>
                <w:lang w:eastAsia="zh-CN"/>
                <w14:textFill>
                  <w14:solidFill>
                    <w14:schemeClr w14:val="tx1"/>
                  </w14:solidFill>
                </w14:textFill>
              </w:rPr>
              <w:t>行政</w:t>
            </w:r>
            <w:r>
              <w:rPr>
                <w:rFonts w:hint="eastAsia" w:ascii="仿宋" w:hAnsi="仿宋" w:eastAsia="仿宋" w:cs="仿宋"/>
                <w:color w:val="000000" w:themeColor="text1"/>
                <w:kern w:val="0"/>
                <w:sz w:val="24"/>
                <w:szCs w:val="24"/>
                <w:highlight w:val="none"/>
                <w14:textFill>
                  <w14:solidFill>
                    <w14:schemeClr w14:val="tx1"/>
                  </w14:solidFill>
                </w14:textFill>
              </w:rPr>
              <w:t>检查</w:t>
            </w:r>
          </w:p>
        </w:tc>
        <w:tc>
          <w:tcPr>
            <w:tcW w:w="4009" w:type="dxa"/>
            <w:noWrap w:val="0"/>
            <w:vAlign w:val="center"/>
          </w:tcPr>
          <w:p w14:paraId="2E707B3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1.《建设项目环境影响报告书（表）编制监督管理办法》（生态环境部令第9号，2019年11月1日施行）</w:t>
            </w:r>
          </w:p>
          <w:p w14:paraId="00B6EE4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第六条 设区的市级以上生态环境主管部门（以下简称市级以上生态环境主管部门）应当加强对编制单位的监督管理和质量考核，开展环境影响报告书（表）编制行为监督检查和编制质量问题查处，并对编制单位和编制人员实施信用管理。</w:t>
            </w:r>
          </w:p>
          <w:p w14:paraId="392FE93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第二十三条 生态环境部定期或者根据实际工作需要不定期通过抽查的方式，开展编制单位和编制人员情况检查。省级和市级生态环境主管部门可以对住所在本行政区域内或者在本行政区域内开展环境影响评价的编制单位及其编制人员相关情况进行抽查。</w:t>
            </w:r>
          </w:p>
        </w:tc>
        <w:tc>
          <w:tcPr>
            <w:tcW w:w="1573" w:type="dxa"/>
            <w:noWrap w:val="0"/>
            <w:vAlign w:val="center"/>
          </w:tcPr>
          <w:p w14:paraId="52730542">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1D854F2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省生态环境厅环境影响评价与排放管理处、</w:t>
            </w:r>
            <w:r>
              <w:rPr>
                <w:rFonts w:hint="eastAsia" w:ascii="仿宋" w:hAnsi="仿宋" w:eastAsia="仿宋" w:cs="仿宋"/>
                <w:color w:val="000000" w:themeColor="text1"/>
                <w:kern w:val="2"/>
                <w:sz w:val="24"/>
                <w:szCs w:val="24"/>
                <w:lang w:val="en-US" w:eastAsia="zh-CN" w:bidi="ar"/>
                <w14:textFill>
                  <w14:solidFill>
                    <w14:schemeClr w14:val="tx1"/>
                  </w14:solidFill>
                </w14:textFill>
              </w:rPr>
              <w:t>核与辐射管理处、省辐射环境监督站、</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59A23DD7">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相关项目建设企业、环评编制企业、环评编制人员、项目环评文件。</w:t>
            </w:r>
          </w:p>
        </w:tc>
        <w:tc>
          <w:tcPr>
            <w:tcW w:w="1370" w:type="dxa"/>
            <w:noWrap w:val="0"/>
            <w:vAlign w:val="center"/>
          </w:tcPr>
          <w:p w14:paraId="5009F328">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p>
          <w:p w14:paraId="26753CB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对建设项目环境影响文件质量开展技术复核，对发现一般质量问题进行通报并作失信记分。对严重质量问题移交执法机构查处。</w:t>
            </w:r>
          </w:p>
        </w:tc>
        <w:tc>
          <w:tcPr>
            <w:tcW w:w="898" w:type="dxa"/>
            <w:noWrap w:val="0"/>
            <w:vAlign w:val="center"/>
          </w:tcPr>
          <w:p w14:paraId="12A6723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38086AD7">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07CAE78C">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A5C6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0" w:hRule="atLeast"/>
          <w:jc w:val="center"/>
        </w:trPr>
        <w:tc>
          <w:tcPr>
            <w:tcW w:w="788" w:type="dxa"/>
            <w:noWrap w:val="0"/>
            <w:vAlign w:val="center"/>
          </w:tcPr>
          <w:p w14:paraId="5DB250ED">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38</w:t>
            </w:r>
          </w:p>
        </w:tc>
        <w:tc>
          <w:tcPr>
            <w:tcW w:w="1723" w:type="dxa"/>
            <w:noWrap w:val="0"/>
            <w:vAlign w:val="center"/>
          </w:tcPr>
          <w:p w14:paraId="53037BA8">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对环境监测质量的审核和检查</w:t>
            </w:r>
          </w:p>
        </w:tc>
        <w:tc>
          <w:tcPr>
            <w:tcW w:w="4009" w:type="dxa"/>
            <w:noWrap w:val="0"/>
            <w:vAlign w:val="center"/>
          </w:tcPr>
          <w:p w14:paraId="31DBB23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1.《环境监测管理办法》（国家环境保护总局令第39号，2007年9月1日施行）</w:t>
            </w:r>
          </w:p>
          <w:p w14:paraId="6A727AD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第十三条 县级以上环境保护部门应当对本行政区域内的环境监测质量进行审核和检查。</w:t>
            </w:r>
          </w:p>
          <w:p w14:paraId="0D0598D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14:textFill>
                  <w14:solidFill>
                    <w14:schemeClr w14:val="tx1"/>
                  </w14:solidFill>
                </w14:textFill>
              </w:rPr>
            </w:pPr>
          </w:p>
        </w:tc>
        <w:tc>
          <w:tcPr>
            <w:tcW w:w="1573" w:type="dxa"/>
            <w:noWrap w:val="0"/>
            <w:vAlign w:val="center"/>
          </w:tcPr>
          <w:p w14:paraId="420C4AD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2D4782E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省生态环境厅生态环境监测处、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12859CC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排污企业</w:t>
            </w:r>
          </w:p>
        </w:tc>
        <w:tc>
          <w:tcPr>
            <w:tcW w:w="1370" w:type="dxa"/>
            <w:noWrap w:val="0"/>
            <w:vAlign w:val="center"/>
          </w:tcPr>
          <w:p w14:paraId="676582C5">
            <w:pPr>
              <w:keepNext w:val="0"/>
              <w:keepLines w:val="0"/>
              <w:pageBreakBefore w:val="0"/>
              <w:widowControl w:val="0"/>
              <w:numPr>
                <w:ilvl w:val="0"/>
                <w:numId w:val="0"/>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排污单位环境监测质量的审核检查，包括排污单位是否按照国家环境监测技术规范要求进行环境监测，是否建立环境监测质量管理体系，是否对环境监测实施全过程质量管理等</w:t>
            </w:r>
          </w:p>
        </w:tc>
        <w:tc>
          <w:tcPr>
            <w:tcW w:w="898" w:type="dxa"/>
            <w:noWrap w:val="0"/>
            <w:vAlign w:val="center"/>
          </w:tcPr>
          <w:p w14:paraId="2E93843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68180C00">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34F9886B">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E47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788" w:type="dxa"/>
            <w:noWrap w:val="0"/>
            <w:vAlign w:val="center"/>
          </w:tcPr>
          <w:p w14:paraId="642D8D74">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39</w:t>
            </w:r>
          </w:p>
        </w:tc>
        <w:tc>
          <w:tcPr>
            <w:tcW w:w="1723" w:type="dxa"/>
            <w:noWrap w:val="0"/>
            <w:vAlign w:val="center"/>
          </w:tcPr>
          <w:p w14:paraId="1BCD570B">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对环境监测机构、从事环境监测设备运营维护的机构进行检查</w:t>
            </w:r>
          </w:p>
        </w:tc>
        <w:tc>
          <w:tcPr>
            <w:tcW w:w="4009" w:type="dxa"/>
            <w:noWrap w:val="0"/>
            <w:vAlign w:val="center"/>
          </w:tcPr>
          <w:p w14:paraId="6AD08D0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1.《中华人民共和国环境保护法》（2014年修订）</w:t>
            </w:r>
          </w:p>
          <w:p w14:paraId="52752BF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第十七条 国家建立、健全环境监测制度。国务院环境保护主管部门制定监测规范，会同有关部门组织监测网络，统一规划国家环境质量监测站（点）的设置，建立监测数据共享机制，加强对环境监测的管理。</w:t>
            </w:r>
          </w:p>
          <w:p w14:paraId="473479E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有关行业、专业等各类环境质量监测站（点）的设置应当符合</w:t>
            </w:r>
          </w:p>
          <w:p w14:paraId="6363ADD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法律法规规定和监测规范的要求。</w:t>
            </w:r>
          </w:p>
          <w:p w14:paraId="6FC0788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监测机构应当使用符合国家标准的监测设备，遵守监测规范。</w:t>
            </w:r>
          </w:p>
          <w:p w14:paraId="3D52F3B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监测机构及其负责人对监测数据的真实性和准确性负责。</w:t>
            </w:r>
          </w:p>
          <w:p w14:paraId="31D77EE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2.《湖南省环境保护条例》（2024年修正）</w:t>
            </w:r>
          </w:p>
          <w:p w14:paraId="1972795F">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一条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14:paraId="29F5035B">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被检查者应当配合检查，如实反映情况，提供必要的资料。</w:t>
            </w:r>
          </w:p>
        </w:tc>
        <w:tc>
          <w:tcPr>
            <w:tcW w:w="1573" w:type="dxa"/>
            <w:noWrap w:val="0"/>
            <w:vAlign w:val="center"/>
          </w:tcPr>
          <w:p w14:paraId="4CBF8A7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5C3A4FC7">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省生态环境厅监测处、</w:t>
            </w:r>
            <w:r>
              <w:rPr>
                <w:rFonts w:hint="eastAsia" w:ascii="仿宋" w:hAnsi="仿宋" w:eastAsia="仿宋" w:cs="仿宋"/>
                <w:color w:val="000000" w:themeColor="text1"/>
                <w:kern w:val="2"/>
                <w:sz w:val="24"/>
                <w:szCs w:val="24"/>
                <w:lang w:val="en-US" w:eastAsia="zh-CN" w:bidi="ar"/>
                <w14:textFill>
                  <w14:solidFill>
                    <w14:schemeClr w14:val="tx1"/>
                  </w14:solidFill>
                </w14:textFill>
              </w:rPr>
              <w:t>核与辐射管理处、</w:t>
            </w: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生态环境执法局；</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1FA9B11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（第三方）生态环境监测服务机构</w:t>
            </w:r>
          </w:p>
        </w:tc>
        <w:tc>
          <w:tcPr>
            <w:tcW w:w="1370" w:type="dxa"/>
            <w:noWrap w:val="0"/>
            <w:vAlign w:val="center"/>
          </w:tcPr>
          <w:p w14:paraId="797A37DA">
            <w:pPr>
              <w:keepNext w:val="0"/>
              <w:keepLines w:val="0"/>
              <w:pageBreakBefore w:val="0"/>
              <w:widowControl w:val="0"/>
              <w:numPr>
                <w:ilvl w:val="0"/>
                <w:numId w:val="0"/>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全省社会化生态环境监测机构是否使用符合国家标准的监测设备，遵守监测规范，对监测数据是否存在弄虚作假情形进行判定等</w:t>
            </w:r>
          </w:p>
        </w:tc>
        <w:tc>
          <w:tcPr>
            <w:tcW w:w="898" w:type="dxa"/>
            <w:noWrap w:val="0"/>
            <w:vAlign w:val="center"/>
          </w:tcPr>
          <w:p w14:paraId="111C2D7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7B0978B5">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按我厅每年3月底前报经省司法厅备案审查的涉企年度行政检查计划执行</w:t>
            </w:r>
          </w:p>
        </w:tc>
        <w:tc>
          <w:tcPr>
            <w:tcW w:w="1406" w:type="dxa"/>
            <w:noWrap w:val="0"/>
            <w:vAlign w:val="center"/>
          </w:tcPr>
          <w:p w14:paraId="777E66A1">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B73A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noWrap w:val="0"/>
            <w:vAlign w:val="center"/>
          </w:tcPr>
          <w:p w14:paraId="44C18765">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40</w:t>
            </w:r>
          </w:p>
        </w:tc>
        <w:tc>
          <w:tcPr>
            <w:tcW w:w="1723" w:type="dxa"/>
            <w:noWrap w:val="0"/>
            <w:vAlign w:val="center"/>
          </w:tcPr>
          <w:p w14:paraId="553E67F6">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对生态环境统计的监督检查</w:t>
            </w:r>
          </w:p>
        </w:tc>
        <w:tc>
          <w:tcPr>
            <w:tcW w:w="4009" w:type="dxa"/>
            <w:noWrap w:val="0"/>
            <w:vAlign w:val="center"/>
          </w:tcPr>
          <w:p w14:paraId="3A14517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1.《生态环境统计管理办法》（生态环境部令第29号，2023年1月18日施行）</w:t>
            </w:r>
          </w:p>
          <w:p w14:paraId="4E7C267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第四十一条 各级生态环境主管部门应当建立监督检查工作机制和相关制度，组织开展生态环境统计监督检查工作。</w:t>
            </w:r>
          </w:p>
          <w:p w14:paraId="494E345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监督检查事项包括：</w:t>
            </w:r>
          </w:p>
          <w:p w14:paraId="690E652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（一）生态环境主管部门遵守、执行生态环境统计法律法规规章情况；</w:t>
            </w:r>
          </w:p>
          <w:p w14:paraId="2CE3F44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（二）生态环境主管部门建立防范和惩治生态环境统计造假、弄虚作假责任制情况；</w:t>
            </w:r>
          </w:p>
          <w:p w14:paraId="0D06BEF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（三）生态环境统计调查对象遵守生态环境统计法律法规规章、统计调查制度情况；</w:t>
            </w:r>
          </w:p>
          <w:p w14:paraId="7606A09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（四）法律法规规章规定的其他事项。</w:t>
            </w:r>
          </w:p>
        </w:tc>
        <w:tc>
          <w:tcPr>
            <w:tcW w:w="1573" w:type="dxa"/>
            <w:noWrap w:val="0"/>
            <w:vAlign w:val="center"/>
          </w:tcPr>
          <w:p w14:paraId="3CF51B4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F957C1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省生态环境厅监测处、</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7F5CC9E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生态环境统计调查对象的企业</w:t>
            </w:r>
          </w:p>
        </w:tc>
        <w:tc>
          <w:tcPr>
            <w:tcW w:w="1370" w:type="dxa"/>
            <w:noWrap w:val="0"/>
            <w:vAlign w:val="center"/>
          </w:tcPr>
          <w:p w14:paraId="5C8E21C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生态环境统计调查对象的监督检查，包括调查表是否按照规范填报，调查表数据是否存在弄虚作假，调查表数据质量情况等</w:t>
            </w:r>
          </w:p>
        </w:tc>
        <w:tc>
          <w:tcPr>
            <w:tcW w:w="898" w:type="dxa"/>
            <w:noWrap w:val="0"/>
            <w:vAlign w:val="center"/>
          </w:tcPr>
          <w:p w14:paraId="7B72E73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现场检查、非现场检查相结合</w:t>
            </w:r>
          </w:p>
        </w:tc>
        <w:tc>
          <w:tcPr>
            <w:tcW w:w="1386" w:type="dxa"/>
            <w:noWrap w:val="0"/>
            <w:vAlign w:val="center"/>
          </w:tcPr>
          <w:p w14:paraId="1B06DFCC">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175DD573">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56157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788" w:type="dxa"/>
            <w:noWrap w:val="0"/>
            <w:vAlign w:val="center"/>
          </w:tcPr>
          <w:p w14:paraId="5063C6C4">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41</w:t>
            </w:r>
          </w:p>
        </w:tc>
        <w:tc>
          <w:tcPr>
            <w:tcW w:w="1723" w:type="dxa"/>
            <w:noWrap w:val="0"/>
            <w:vAlign w:val="center"/>
          </w:tcPr>
          <w:p w14:paraId="7F2F4311">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对建设项目环境保护设施设计、施工、验收、投入生产或者使用情况，以及有关环境影响评价文件确定的其他环境保护措施的落实情况的行政检查</w:t>
            </w:r>
          </w:p>
        </w:tc>
        <w:tc>
          <w:tcPr>
            <w:tcW w:w="4009" w:type="dxa"/>
            <w:noWrap w:val="0"/>
            <w:vAlign w:val="center"/>
          </w:tcPr>
          <w:p w14:paraId="42B9447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1.《建设项目环境保护管理条例》（2017年修订）</w:t>
            </w:r>
          </w:p>
          <w:p w14:paraId="4520BDBD">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第二十条 环境保护行政主管部门应当对建设项目环境保护设施设计、施工、验收、投入生产或者使用情况，以及有关环境影响评价文件确定的其他环境保护措施的落实情况，进行监督检查。</w:t>
            </w:r>
          </w:p>
          <w:p w14:paraId="15B2A82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环境保护行政主管部门应当将建设项目有关环境违法信息记入社会诚信档案，及时向社会公开违法者名单。</w:t>
            </w:r>
          </w:p>
          <w:p w14:paraId="44F0863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2.《建设项目环境影响登记表备案管理办法》（环境保护部令第41号，2017年1月1日施行）</w:t>
            </w:r>
          </w:p>
          <w:p w14:paraId="3B5A5AC6">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第十七条 环境保护主管部门或者其他负有环境保护监督管理职责的部门可以采取抽查、根据举报进行检查等方式，对建设单位遵守本办法规定的情况开展监督检查，并根据监督检查认定的事实，按照以下情形处理：</w:t>
            </w:r>
          </w:p>
          <w:p w14:paraId="0A154555">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（一）构成行政违法的，依照有关环境保护法律法规和规定，予以行政处罚；</w:t>
            </w:r>
          </w:p>
          <w:p w14:paraId="1EAA33A2">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（二）构成环境侵权的，依法承担环境侵权责任；</w:t>
            </w:r>
          </w:p>
          <w:p w14:paraId="454A458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（三）涉嫌构成犯罪的，依法移送司法机关。</w:t>
            </w:r>
          </w:p>
        </w:tc>
        <w:tc>
          <w:tcPr>
            <w:tcW w:w="1573" w:type="dxa"/>
            <w:noWrap w:val="0"/>
            <w:vAlign w:val="center"/>
          </w:tcPr>
          <w:p w14:paraId="29042CAC">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6F46404">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省生态环境执法局、</w:t>
            </w:r>
            <w:r>
              <w:rPr>
                <w:rFonts w:hint="eastAsia" w:ascii="仿宋" w:hAnsi="仿宋" w:eastAsia="仿宋" w:cs="仿宋"/>
                <w:color w:val="000000" w:themeColor="text1"/>
                <w:kern w:val="2"/>
                <w:sz w:val="24"/>
                <w:szCs w:val="24"/>
                <w:lang w:val="en-US" w:eastAsia="zh-CN" w:bidi="ar"/>
                <w14:textFill>
                  <w14:solidFill>
                    <w14:schemeClr w14:val="tx1"/>
                  </w14:solidFill>
                </w14:textFill>
              </w:rPr>
              <w:t>核与辐射管理处、省辐射环境监督站</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7B5F65B0">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对环境有影响的建设项目的企业</w:t>
            </w:r>
          </w:p>
          <w:p w14:paraId="7080017E">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1370" w:type="dxa"/>
            <w:noWrap w:val="0"/>
            <w:vAlign w:val="center"/>
          </w:tcPr>
          <w:p w14:paraId="25F7D8BC">
            <w:pPr>
              <w:keepNext w:val="0"/>
              <w:keepLines w:val="0"/>
              <w:pageBreakBefore w:val="0"/>
              <w:widowControl w:val="0"/>
              <w:numPr>
                <w:ilvl w:val="0"/>
                <w:numId w:val="3"/>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对建设项目环境保护设施设计、施工、验收、投入生产或者使用情况，以及有关环境影响评价文件确定的其他环境保护措施的落实情况进行监督检查</w:t>
            </w:r>
          </w:p>
          <w:p w14:paraId="6B813D9E">
            <w:pPr>
              <w:keepNext w:val="0"/>
              <w:keepLines w:val="0"/>
              <w:pageBreakBefore w:val="0"/>
              <w:widowControl w:val="0"/>
              <w:numPr>
                <w:ilvl w:val="0"/>
                <w:numId w:val="3"/>
              </w:numPr>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对</w:t>
            </w:r>
            <w:r>
              <w:rPr>
                <w:rFonts w:hint="eastAsia" w:ascii="仿宋" w:hAnsi="仿宋" w:eastAsia="仿宋" w:cs="仿宋"/>
                <w:color w:val="000000" w:themeColor="text1"/>
                <w:kern w:val="0"/>
                <w:sz w:val="24"/>
                <w:szCs w:val="24"/>
                <w:highlight w:val="none"/>
                <w:lang w:val="zh-CN" w:eastAsia="zh-CN"/>
                <w14:textFill>
                  <w14:solidFill>
                    <w14:schemeClr w14:val="tx1"/>
                  </w14:solidFill>
                </w14:textFill>
              </w:rPr>
              <w:t>建设项目的环境影响登记表备案</w:t>
            </w: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情况进行监督检查</w:t>
            </w:r>
          </w:p>
        </w:tc>
        <w:tc>
          <w:tcPr>
            <w:tcW w:w="898" w:type="dxa"/>
            <w:noWrap w:val="0"/>
            <w:vAlign w:val="center"/>
          </w:tcPr>
          <w:p w14:paraId="05CF52AD">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32798663">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55A8FEE2">
            <w:pPr>
              <w:keepNext w:val="0"/>
              <w:keepLines w:val="0"/>
              <w:pageBreakBefore w:val="0"/>
              <w:widowControl w:val="0"/>
              <w:kinsoku/>
              <w:wordWrap/>
              <w:overflowPunct w:val="0"/>
              <w:topLinePunct/>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160D4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88" w:type="dxa"/>
            <w:noWrap w:val="0"/>
            <w:vAlign w:val="center"/>
          </w:tcPr>
          <w:p w14:paraId="16A113A3">
            <w:pPr>
              <w:keepNext w:val="0"/>
              <w:keepLines w:val="0"/>
              <w:pageBreakBefore w:val="0"/>
              <w:widowControl w:val="0"/>
              <w:numPr>
                <w:ilvl w:val="0"/>
                <w:numId w:val="0"/>
              </w:numPr>
              <w:tabs>
                <w:tab w:val="left" w:pos="0"/>
              </w:tabs>
              <w:kinsoku/>
              <w:wordWrap/>
              <w:overflowPunct w:val="0"/>
              <w:topLinePunct/>
              <w:autoSpaceDE/>
              <w:autoSpaceDN/>
              <w:bidi w:val="0"/>
              <w:adjustRightInd w:val="0"/>
              <w:snapToGrid w:val="0"/>
              <w:spacing w:line="240" w:lineRule="auto"/>
              <w:ind w:left="0" w:leftChars="0" w:firstLine="0" w:firstLineChars="0"/>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42</w:t>
            </w:r>
          </w:p>
        </w:tc>
        <w:tc>
          <w:tcPr>
            <w:tcW w:w="1723" w:type="dxa"/>
            <w:noWrap w:val="0"/>
            <w:vAlign w:val="center"/>
          </w:tcPr>
          <w:p w14:paraId="4FA02AF7">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对污染源自动监控设施现场的监督检查；对自动监控系统的建设、运行和维护等的</w:t>
            </w:r>
            <w:r>
              <w:rPr>
                <w:rFonts w:hint="eastAsia" w:ascii="仿宋" w:hAnsi="仿宋" w:eastAsia="仿宋" w:cs="仿宋"/>
                <w:color w:val="000000" w:themeColor="text1"/>
                <w:sz w:val="24"/>
                <w:szCs w:val="24"/>
                <w:highlight w:val="none"/>
                <w:lang w:eastAsia="zh-CN"/>
                <w14:textFill>
                  <w14:solidFill>
                    <w14:schemeClr w14:val="tx1"/>
                  </w14:solidFill>
                </w14:textFill>
              </w:rPr>
              <w:t>行政</w:t>
            </w:r>
            <w:r>
              <w:rPr>
                <w:rFonts w:hint="eastAsia" w:ascii="仿宋" w:hAnsi="仿宋" w:eastAsia="仿宋" w:cs="仿宋"/>
                <w:color w:val="000000" w:themeColor="text1"/>
                <w:sz w:val="24"/>
                <w:szCs w:val="24"/>
                <w:highlight w:val="none"/>
                <w14:textFill>
                  <w14:solidFill>
                    <w14:schemeClr w14:val="tx1"/>
                  </w14:solidFill>
                </w14:textFill>
              </w:rPr>
              <w:t>检查</w:t>
            </w:r>
          </w:p>
        </w:tc>
        <w:tc>
          <w:tcPr>
            <w:tcW w:w="4009" w:type="dxa"/>
            <w:noWrap w:val="0"/>
            <w:vAlign w:val="center"/>
          </w:tcPr>
          <w:p w14:paraId="4C6B9577">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1.《中华人民共和国水污染防治法》（2017年修正）</w:t>
            </w:r>
          </w:p>
          <w:p w14:paraId="635010F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实行排污许可管理的企业事业单位和其他生产经营者应当对监测数据的真实性和准确性负责。</w:t>
            </w:r>
          </w:p>
          <w:p w14:paraId="581DE0A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环境保护主管部门发现重点排污单位的水污染物排放自动监测设备传输数据异常，应当及时进行调查。</w:t>
            </w:r>
          </w:p>
          <w:p w14:paraId="081979C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2.《污染源自动监控设施现场监督检查办法》（环境保护部令第19号，2012年4月1日施行）</w:t>
            </w:r>
          </w:p>
          <w:p w14:paraId="0DD925C0">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第四条 污染源自动监控设施的现场监督检查，由各级环境保护主管部门或者其委托的行使现场监督检查职责的机构（以下统称监督检查机构）具体负责。</w:t>
            </w:r>
          </w:p>
          <w:p w14:paraId="54C1CBC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省级以下环境保护主管部门对污染源自动监控设施进行监督管理和现场监督检查的权限划分，由省级环境保护主管部门确定。</w:t>
            </w:r>
          </w:p>
          <w:p w14:paraId="230457A4">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3.《污染源自动监控管理办法》（国家环境保护总局令第28号，2005年11月1日施行）</w:t>
            </w:r>
          </w:p>
          <w:p w14:paraId="5492648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第六条第（三）项 环境监察机构负责以下工作：（三）对自动监控系统的建设、运行和维护等进行监督检查。</w:t>
            </w:r>
          </w:p>
        </w:tc>
        <w:tc>
          <w:tcPr>
            <w:tcW w:w="1573" w:type="dxa"/>
            <w:noWrap w:val="0"/>
            <w:vAlign w:val="center"/>
          </w:tcPr>
          <w:p w14:paraId="22A2D31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179BED1A">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省环境应急与事故调查中心、</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2974D4E1">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重点排污</w:t>
            </w:r>
            <w:r>
              <w:rPr>
                <w:rFonts w:hint="eastAsia" w:ascii="仿宋" w:hAnsi="仿宋" w:eastAsia="仿宋" w:cs="仿宋"/>
                <w:color w:val="000000" w:themeColor="text1"/>
                <w:sz w:val="24"/>
                <w:szCs w:val="24"/>
                <w:highlight w:val="none"/>
                <w:lang w:val="en-US" w:eastAsia="zh-CN"/>
                <w14:textFill>
                  <w14:solidFill>
                    <w14:schemeClr w14:val="tx1"/>
                  </w14:solidFill>
                </w14:textFill>
              </w:rPr>
              <w:t>的企业和其他生产经营者</w:t>
            </w:r>
          </w:p>
        </w:tc>
        <w:tc>
          <w:tcPr>
            <w:tcW w:w="1370" w:type="dxa"/>
            <w:noWrap w:val="0"/>
            <w:vAlign w:val="center"/>
          </w:tcPr>
          <w:p w14:paraId="289000D9">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数据监测异常</w:t>
            </w:r>
          </w:p>
        </w:tc>
        <w:tc>
          <w:tcPr>
            <w:tcW w:w="898" w:type="dxa"/>
            <w:noWrap w:val="0"/>
            <w:vAlign w:val="center"/>
          </w:tcPr>
          <w:p w14:paraId="6657B6B8">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6C715B2C">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不受年度频次上限限制</w:t>
            </w:r>
          </w:p>
        </w:tc>
        <w:tc>
          <w:tcPr>
            <w:tcW w:w="1406" w:type="dxa"/>
            <w:noWrap w:val="0"/>
            <w:vAlign w:val="center"/>
          </w:tcPr>
          <w:p w14:paraId="0EB836FF">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0A5BC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6" w:hRule="atLeast"/>
          <w:jc w:val="center"/>
        </w:trPr>
        <w:tc>
          <w:tcPr>
            <w:tcW w:w="788" w:type="dxa"/>
            <w:noWrap w:val="0"/>
            <w:vAlign w:val="center"/>
          </w:tcPr>
          <w:p w14:paraId="7B95A748">
            <w:pPr>
              <w:widowControl w:val="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43</w:t>
            </w:r>
          </w:p>
        </w:tc>
        <w:tc>
          <w:tcPr>
            <w:tcW w:w="1723" w:type="dxa"/>
            <w:noWrap w:val="0"/>
            <w:vAlign w:val="center"/>
          </w:tcPr>
          <w:p w14:paraId="07051727">
            <w:pPr>
              <w:keepNext w:val="0"/>
              <w:keepLines w:val="0"/>
              <w:widowControl/>
              <w:suppressLineNumbers w:val="0"/>
              <w:jc w:val="center"/>
              <w:textAlignment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对企业事业单位环境风险防范和环境安全隐患排查治理工作</w:t>
            </w:r>
            <w:r>
              <w:rPr>
                <w:rFonts w:hint="eastAsia" w:ascii="仿宋" w:hAnsi="仿宋" w:eastAsia="仿宋" w:cs="仿宋"/>
                <w:color w:val="000000" w:themeColor="text1"/>
                <w:sz w:val="24"/>
                <w:szCs w:val="24"/>
                <w:highlight w:val="none"/>
                <w:lang w:val="en-US" w:eastAsia="zh-CN"/>
                <w14:textFill>
                  <w14:solidFill>
                    <w14:schemeClr w14:val="tx1"/>
                  </w14:solidFill>
                </w14:textFill>
              </w:rPr>
              <w:t>的行政检查</w:t>
            </w:r>
          </w:p>
        </w:tc>
        <w:tc>
          <w:tcPr>
            <w:tcW w:w="4009" w:type="dxa"/>
            <w:noWrap w:val="0"/>
            <w:vAlign w:val="center"/>
          </w:tcPr>
          <w:p w14:paraId="22FBDE5E">
            <w:pPr>
              <w:keepNext w:val="0"/>
              <w:keepLines w:val="0"/>
              <w:widowControl w:val="0"/>
              <w:numPr>
                <w:ilvl w:val="-1"/>
                <w:numId w:val="0"/>
              </w:numPr>
              <w:suppressLineNumbers w:val="0"/>
              <w:spacing w:before="0" w:beforeLines="0" w:beforeAutospacing="0" w:after="0" w:afterLines="0" w:afterAutospacing="0"/>
              <w:ind w:left="0" w:right="0"/>
              <w:jc w:val="both"/>
              <w:textAlignment w:val="auto"/>
              <w:rPr>
                <w:rFonts w:hint="eastAsia" w:ascii="仿宋" w:hAnsi="仿宋" w:eastAsia="仿宋" w:cs="仿宋"/>
                <w:color w:val="000000" w:themeColor="text1"/>
                <w:sz w:val="24"/>
                <w:szCs w:val="24"/>
                <w:highlight w:val="none"/>
                <w:lang w:bidi="ar"/>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bidi="ar"/>
                <w14:textFill>
                  <w14:solidFill>
                    <w14:schemeClr w14:val="tx1"/>
                  </w14:solidFill>
                </w14:textFill>
              </w:rPr>
              <w:t>1.</w:t>
            </w:r>
            <w:r>
              <w:rPr>
                <w:rFonts w:hint="eastAsia" w:ascii="仿宋" w:hAnsi="仿宋" w:eastAsia="仿宋" w:cs="仿宋"/>
                <w:b w:val="0"/>
                <w:bCs w:val="0"/>
                <w:color w:val="000000" w:themeColor="text1"/>
                <w:sz w:val="24"/>
                <w:szCs w:val="24"/>
                <w:highlight w:val="none"/>
                <w:lang w:eastAsia="zh-CN" w:bidi="ar"/>
                <w14:textFill>
                  <w14:solidFill>
                    <w14:schemeClr w14:val="tx1"/>
                  </w14:solidFill>
                </w14:textFill>
              </w:rPr>
              <w:t>《</w:t>
            </w:r>
            <w:r>
              <w:rPr>
                <w:rFonts w:hint="eastAsia" w:ascii="仿宋" w:hAnsi="仿宋" w:eastAsia="仿宋" w:cs="仿宋"/>
                <w:b w:val="0"/>
                <w:bCs w:val="0"/>
                <w:color w:val="000000" w:themeColor="text1"/>
                <w:sz w:val="24"/>
                <w:szCs w:val="24"/>
                <w:highlight w:val="none"/>
                <w:lang w:bidi="ar"/>
                <w14:textFill>
                  <w14:solidFill>
                    <w14:schemeClr w14:val="tx1"/>
                  </w14:solidFill>
                </w14:textFill>
              </w:rPr>
              <w:t>突发环境事件应急管理办法</w:t>
            </w:r>
            <w:r>
              <w:rPr>
                <w:rFonts w:hint="eastAsia" w:ascii="仿宋" w:hAnsi="仿宋" w:eastAsia="仿宋" w:cs="仿宋"/>
                <w:b w:val="0"/>
                <w:bCs w:val="0"/>
                <w:color w:val="000000" w:themeColor="text1"/>
                <w:sz w:val="24"/>
                <w:szCs w:val="24"/>
                <w:highlight w:val="none"/>
                <w:lang w:eastAsia="zh-CN" w:bidi="ar"/>
                <w14:textFill>
                  <w14:solidFill>
                    <w14:schemeClr w14:val="tx1"/>
                  </w14:solidFill>
                </w14:textFill>
              </w:rPr>
              <w:t>》（环境保护部令第34号，2015年6月5日施行）</w:t>
            </w:r>
            <w:r>
              <w:rPr>
                <w:rFonts w:hint="eastAsia" w:ascii="仿宋" w:hAnsi="仿宋" w:eastAsia="仿宋" w:cs="仿宋"/>
                <w:b w:val="0"/>
                <w:bCs w:val="0"/>
                <w:color w:val="000000" w:themeColor="text1"/>
                <w:sz w:val="24"/>
                <w:szCs w:val="24"/>
                <w:highlight w:val="none"/>
                <w:lang w:bidi="ar"/>
                <w14:textFill>
                  <w14:solidFill>
                    <w14:schemeClr w14:val="tx1"/>
                  </w14:solidFill>
                </w14:textFill>
              </w:rPr>
              <w:t xml:space="preserve"> </w:t>
            </w:r>
            <w:r>
              <w:rPr>
                <w:rFonts w:hint="eastAsia" w:ascii="仿宋" w:hAnsi="仿宋" w:eastAsia="仿宋" w:cs="仿宋"/>
                <w:color w:val="000000" w:themeColor="text1"/>
                <w:sz w:val="24"/>
                <w:szCs w:val="24"/>
                <w:highlight w:val="none"/>
                <w:lang w:bidi="ar"/>
                <w14:textFill>
                  <w14:solidFill>
                    <w14:schemeClr w14:val="tx1"/>
                  </w14:solidFill>
                </w14:textFill>
              </w:rPr>
              <w:t xml:space="preserve"> </w:t>
            </w:r>
          </w:p>
          <w:p w14:paraId="6DC91B0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bidi="ar"/>
                <w14:textFill>
                  <w14:solidFill>
                    <w14:schemeClr w14:val="tx1"/>
                  </w14:solidFill>
                </w14:textFill>
              </w:rPr>
              <w:t>第十二条 县级以上地方环境保护主管部门应当对企业事业单位环境风险防范和环境安全隐患排查治理工作进行抽查或者突击检查，将存在重大环境安全隐患且整治不力的企业信息纳入社会诚信档案, 并可以通报行业主管部门、投资主管部门、证券监督管理机构以及有关金融机构。</w:t>
            </w:r>
          </w:p>
        </w:tc>
        <w:tc>
          <w:tcPr>
            <w:tcW w:w="1573" w:type="dxa"/>
            <w:noWrap w:val="0"/>
            <w:vAlign w:val="center"/>
          </w:tcPr>
          <w:p w14:paraId="68564DAE">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73B24273">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省环境应急与事故调查中心、</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生态环境执法局</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各市（州）生态环境局及分局</w:t>
            </w:r>
            <w:r>
              <w:rPr>
                <w:rFonts w:hint="eastAsia" w:ascii="仿宋" w:hAnsi="仿宋" w:eastAsia="仿宋" w:cs="仿宋"/>
                <w:color w:val="000000" w:themeColor="text1"/>
                <w:sz w:val="24"/>
                <w:szCs w:val="24"/>
                <w:highlight w:val="none"/>
                <w:lang w:val="en-US" w:eastAsia="zh-CN"/>
                <w14:textFill>
                  <w14:solidFill>
                    <w14:schemeClr w14:val="tx1"/>
                  </w14:solidFill>
                </w14:textFill>
              </w:rPr>
              <w:t>承担相应职责的机构</w:t>
            </w:r>
          </w:p>
        </w:tc>
        <w:tc>
          <w:tcPr>
            <w:tcW w:w="1246" w:type="dxa"/>
            <w:noWrap w:val="0"/>
            <w:vAlign w:val="center"/>
          </w:tcPr>
          <w:p w14:paraId="701B42A4">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存在</w:t>
            </w:r>
            <w:r>
              <w:rPr>
                <w:rFonts w:hint="eastAsia" w:ascii="仿宋" w:hAnsi="仿宋" w:eastAsia="仿宋" w:cs="仿宋"/>
                <w:color w:val="000000" w:themeColor="text1"/>
                <w:sz w:val="24"/>
                <w:szCs w:val="24"/>
                <w:highlight w:val="none"/>
                <w:lang w:eastAsia="zh-CN"/>
                <w14:textFill>
                  <w14:solidFill>
                    <w14:schemeClr w14:val="tx1"/>
                  </w14:solidFill>
                </w14:textFill>
              </w:rPr>
              <w:t>环境污染风险的企业</w:t>
            </w:r>
          </w:p>
        </w:tc>
        <w:tc>
          <w:tcPr>
            <w:tcW w:w="1370" w:type="dxa"/>
            <w:noWrap w:val="0"/>
            <w:vAlign w:val="center"/>
          </w:tcPr>
          <w:p w14:paraId="4CF35430">
            <w:pPr>
              <w:keepNext w:val="0"/>
              <w:keepLines w:val="0"/>
              <w:widowControl/>
              <w:suppressLineNumbers w:val="0"/>
              <w:jc w:val="center"/>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环境风险防范情况和环境安全隐患排查治理工作开展情况</w:t>
            </w:r>
          </w:p>
        </w:tc>
        <w:tc>
          <w:tcPr>
            <w:tcW w:w="898" w:type="dxa"/>
            <w:noWrap w:val="0"/>
            <w:vAlign w:val="center"/>
          </w:tcPr>
          <w:p w14:paraId="6C2C3F63">
            <w:pPr>
              <w:keepNext w:val="0"/>
              <w:keepLines w:val="0"/>
              <w:widowControl/>
              <w:suppressLineNumbers w:val="0"/>
              <w:jc w:val="center"/>
              <w:textAlignment w:val="cente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 w:eastAsia="zh-CN"/>
                <w14:textFill>
                  <w14:solidFill>
                    <w14:schemeClr w14:val="tx1"/>
                  </w14:solidFill>
                </w14:textFill>
              </w:rPr>
              <w:t>现场检查、非现场检查相结合</w:t>
            </w:r>
          </w:p>
        </w:tc>
        <w:tc>
          <w:tcPr>
            <w:tcW w:w="1386" w:type="dxa"/>
            <w:noWrap w:val="0"/>
            <w:vAlign w:val="center"/>
          </w:tcPr>
          <w:p w14:paraId="77A4B015">
            <w:pPr>
              <w:keepNext w:val="0"/>
              <w:keepLines w:val="0"/>
              <w:widowControl/>
              <w:suppressLineNumbers w:val="0"/>
              <w:jc w:val="center"/>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67E4A420">
            <w:pPr>
              <w:widowControl w:val="0"/>
              <w:jc w:val="left"/>
              <w:rPr>
                <w:rFonts w:hint="eastAsia" w:ascii="仿宋" w:hAnsi="仿宋" w:eastAsia="仿宋" w:cs="仿宋"/>
                <w:color w:val="000000" w:themeColor="text1"/>
                <w:sz w:val="24"/>
                <w:szCs w:val="24"/>
                <w:vertAlign w:val="baseli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45B6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noWrap w:val="0"/>
            <w:vAlign w:val="center"/>
          </w:tcPr>
          <w:p w14:paraId="77C3BBB9">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44</w:t>
            </w:r>
          </w:p>
        </w:tc>
        <w:tc>
          <w:tcPr>
            <w:tcW w:w="1723" w:type="dxa"/>
            <w:noWrap w:val="0"/>
            <w:vAlign w:val="center"/>
          </w:tcPr>
          <w:p w14:paraId="21729F89">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对畜禽养殖污染防治情况的行政检查</w:t>
            </w:r>
          </w:p>
        </w:tc>
        <w:tc>
          <w:tcPr>
            <w:tcW w:w="4009" w:type="dxa"/>
            <w:noWrap w:val="0"/>
            <w:vAlign w:val="center"/>
          </w:tcPr>
          <w:p w14:paraId="1A4956B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1.《中华人民共和国环境保护法》（2014年修订）</w:t>
            </w:r>
          </w:p>
          <w:p w14:paraId="5DDC68D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14:paraId="01777D5E">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2.《畜禽规模养殖污染防治条例》（2014年1月1日施行）</w:t>
            </w:r>
          </w:p>
          <w:p w14:paraId="7E9254FC">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第二十三条 县级以上人民政府环境保护主管部门应当依据职责对畜禽养殖污染防治情况进行监督检查，并加强对畜禽养殖环境污染的监测。</w:t>
            </w:r>
          </w:p>
          <w:p w14:paraId="26B24F2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乡镇人民政府、基层群众自治组织发现畜禽养殖环境污染行为的，应当及时制止和报告。</w:t>
            </w:r>
          </w:p>
          <w:p w14:paraId="640C9CE1">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3.《湖南省环境保护条例》（2024年修正）</w:t>
            </w:r>
          </w:p>
          <w:p w14:paraId="2B33A063">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一条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14:paraId="36D98698">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sz w:val="24"/>
                <w:szCs w:val="24"/>
                <w:highlight w:val="none"/>
                <w:shd w:val="clear" w:color="auto" w:fill="FFFFFF"/>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被检查者应当配合检查，如实反映情况，提供必要的资料。</w:t>
            </w:r>
          </w:p>
        </w:tc>
        <w:tc>
          <w:tcPr>
            <w:tcW w:w="1573" w:type="dxa"/>
            <w:noWrap w:val="0"/>
            <w:vAlign w:val="center"/>
          </w:tcPr>
          <w:p w14:paraId="5CC58770">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37641BB9">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省生态环境农村工作站、生态环境执法局；各市（州）生态环境局及分局承担相应职责的机构</w:t>
            </w:r>
          </w:p>
        </w:tc>
        <w:tc>
          <w:tcPr>
            <w:tcW w:w="1246" w:type="dxa"/>
            <w:noWrap w:val="0"/>
            <w:vAlign w:val="center"/>
          </w:tcPr>
          <w:p w14:paraId="7A0DF04A">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全省畜禽规模养殖场的经营主体</w:t>
            </w:r>
          </w:p>
        </w:tc>
        <w:tc>
          <w:tcPr>
            <w:tcW w:w="1370" w:type="dxa"/>
            <w:noWrap w:val="0"/>
            <w:vAlign w:val="center"/>
          </w:tcPr>
          <w:p w14:paraId="4A88556D">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color w:val="000000" w:themeColor="text1"/>
                <w:sz w:val="24"/>
                <w:szCs w:val="24"/>
                <w:highlight w:val="none"/>
                <w:vertAlign w:val="baseline"/>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重点检查畜禽规模养殖场粪污处理与污染防治设施设备建设运营情况、粪污收集储存转运情况、粪污综合利用情况等</w:t>
            </w:r>
          </w:p>
        </w:tc>
        <w:tc>
          <w:tcPr>
            <w:tcW w:w="898" w:type="dxa"/>
            <w:noWrap w:val="0"/>
            <w:vAlign w:val="center"/>
          </w:tcPr>
          <w:p w14:paraId="4BFD914C">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bCs/>
                <w:color w:val="000000" w:themeColor="text1"/>
                <w:kern w:val="0"/>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现场检查</w:t>
            </w:r>
          </w:p>
        </w:tc>
        <w:tc>
          <w:tcPr>
            <w:tcW w:w="1386" w:type="dxa"/>
            <w:noWrap w:val="0"/>
            <w:vAlign w:val="center"/>
          </w:tcPr>
          <w:p w14:paraId="6870F1D7">
            <w:pPr>
              <w:keepNext w:val="0"/>
              <w:keepLines w:val="0"/>
              <w:pageBreakBefore w:val="0"/>
              <w:widowControl w:val="0"/>
              <w:kinsoku/>
              <w:wordWrap/>
              <w:autoSpaceDE/>
              <w:autoSpaceDN/>
              <w:bidi w:val="0"/>
              <w:adjustRightInd w:val="0"/>
              <w:snapToGrid w:val="0"/>
              <w:spacing w:line="240" w:lineRule="auto"/>
              <w:jc w:val="center"/>
              <w:textAlignment w:val="center"/>
              <w:rPr>
                <w:rFonts w:hint="eastAsia" w:ascii="仿宋" w:hAnsi="仿宋" w:eastAsia="仿宋" w:cs="仿宋"/>
                <w:bCs/>
                <w:color w:val="000000" w:themeColor="text1"/>
                <w:kern w:val="0"/>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5A980060">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21C4F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noWrap w:val="0"/>
            <w:vAlign w:val="center"/>
          </w:tcPr>
          <w:p w14:paraId="2194237F">
            <w:pPr>
              <w:keepNext w:val="0"/>
              <w:keepLines w:val="0"/>
              <w:pageBreakBefore w:val="0"/>
              <w:widowControl w:val="0"/>
              <w:tabs>
                <w:tab w:val="left" w:pos="0"/>
              </w:tabs>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45</w:t>
            </w:r>
          </w:p>
        </w:tc>
        <w:tc>
          <w:tcPr>
            <w:tcW w:w="1723" w:type="dxa"/>
            <w:noWrap w:val="0"/>
            <w:vAlign w:val="center"/>
          </w:tcPr>
          <w:p w14:paraId="040A4EE8">
            <w:pPr>
              <w:keepNext w:val="0"/>
              <w:keepLines w:val="0"/>
              <w:pageBreakBefore w:val="0"/>
              <w:widowControl w:val="0"/>
              <w:kinsoku/>
              <w:wordWrap/>
              <w:overflowPunct w:val="0"/>
              <w:topLinePunct/>
              <w:autoSpaceDE/>
              <w:autoSpaceDN/>
              <w:bidi w:val="0"/>
              <w:adjustRightInd w:val="0"/>
              <w:snapToGrid w:val="0"/>
              <w:spacing w:line="24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对企业实施强制性清洁生产审核情况的行政检查</w:t>
            </w:r>
          </w:p>
        </w:tc>
        <w:tc>
          <w:tcPr>
            <w:tcW w:w="4009" w:type="dxa"/>
            <w:noWrap w:val="0"/>
            <w:vAlign w:val="center"/>
          </w:tcPr>
          <w:p w14:paraId="2E708279">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color w:val="000000" w:themeColor="text1"/>
                <w:kern w:val="2"/>
                <w:sz w:val="24"/>
                <w:szCs w:val="24"/>
                <w:lang w:val="en-US" w:eastAsia="zh-CN" w:bidi="ar"/>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1.《中华人民共和国清洁生产促进法》（2012年修订）</w:t>
            </w:r>
          </w:p>
          <w:p w14:paraId="63D56F5A">
            <w:pPr>
              <w:keepNext w:val="0"/>
              <w:keepLines w:val="0"/>
              <w:widowControl w:val="0"/>
              <w:suppressLineNumbers w:val="0"/>
              <w:spacing w:before="0" w:beforeLines="0" w:beforeAutospacing="0" w:after="0" w:afterLines="0" w:afterAutospacing="0"/>
              <w:ind w:left="0" w:leftChars="0" w:right="0" w:rightChars="0" w:firstLine="0" w:firstLineChars="0"/>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
                <w14:textFill>
                  <w14:solidFill>
                    <w14:schemeClr w14:val="tx1"/>
                  </w14:solidFill>
                </w14:textFill>
              </w:rPr>
              <w:t>第三十九条 违反本法第二十七条第二款、第四款规定，不实施强制性清洁生产审核或者在清洁生产审核中弄虚作假的，或者实施强制性清洁生产审核的企业不报告或者不如实报告审核结果的，由县级以上地方人民政府负责清洁生产综合协调的部门、环境保护部门按照职责分工责令限期改正；拒不改正的，处以五万元以上五十万元以下的罚款。</w:t>
            </w:r>
          </w:p>
        </w:tc>
        <w:tc>
          <w:tcPr>
            <w:tcW w:w="1573" w:type="dxa"/>
            <w:noWrap w:val="0"/>
            <w:vAlign w:val="center"/>
          </w:tcPr>
          <w:p w14:paraId="3EB0EC48">
            <w:pPr>
              <w:keepNext w:val="0"/>
              <w:keepLines w:val="0"/>
              <w:pageBreakBefore w:val="0"/>
              <w:widowControl w:val="0"/>
              <w:tabs>
                <w:tab w:val="center" w:pos="4153"/>
                <w:tab w:val="right" w:pos="8306"/>
              </w:tabs>
              <w:kinsoku/>
              <w:wordWrap/>
              <w:autoSpaceDE/>
              <w:autoSpaceDN/>
              <w:bidi w:val="0"/>
              <w:adjustRightInd w:val="0"/>
              <w:snapToGrid w:val="0"/>
              <w:spacing w:line="240" w:lineRule="auto"/>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生态环境主管部门（省级、设区的市级）</w:t>
            </w:r>
          </w:p>
        </w:tc>
        <w:tc>
          <w:tcPr>
            <w:tcW w:w="1599" w:type="dxa"/>
            <w:noWrap w:val="0"/>
            <w:vAlign w:val="center"/>
          </w:tcPr>
          <w:p w14:paraId="4B91AF35">
            <w:pPr>
              <w:keepNext w:val="0"/>
              <w:keepLines w:val="0"/>
              <w:pageBreakBefore w:val="0"/>
              <w:widowControl w:val="0"/>
              <w:tabs>
                <w:tab w:val="center" w:pos="4153"/>
                <w:tab w:val="right" w:pos="8306"/>
              </w:tabs>
              <w:kinsoku/>
              <w:wordWrap/>
              <w:autoSpaceDE/>
              <w:autoSpaceDN/>
              <w:bidi w:val="0"/>
              <w:adjustRightInd w:val="0"/>
              <w:snapToGrid w:val="0"/>
              <w:spacing w:line="240" w:lineRule="auto"/>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省生态环境厅科技与财务处、生态环境执法局；各市（州）生态环境局及分局承担相应职责的机构</w:t>
            </w:r>
          </w:p>
        </w:tc>
        <w:tc>
          <w:tcPr>
            <w:tcW w:w="1246" w:type="dxa"/>
            <w:noWrap w:val="0"/>
            <w:vAlign w:val="center"/>
          </w:tcPr>
          <w:p w14:paraId="55A0E166">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实施强制性清洁生产审核的企业</w:t>
            </w:r>
          </w:p>
          <w:p w14:paraId="30C7C20C">
            <w:pPr>
              <w:keepNext w:val="0"/>
              <w:keepLines w:val="0"/>
              <w:pageBreakBefore w:val="0"/>
              <w:widowControl w:val="0"/>
              <w:tabs>
                <w:tab w:val="center" w:pos="4153"/>
                <w:tab w:val="right" w:pos="8306"/>
              </w:tabs>
              <w:kinsoku/>
              <w:wordWrap/>
              <w:autoSpaceDE/>
              <w:autoSpaceDN/>
              <w:bidi w:val="0"/>
              <w:adjustRightInd w:val="0"/>
              <w:snapToGrid w:val="0"/>
              <w:spacing w:line="240" w:lineRule="auto"/>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p>
        </w:tc>
        <w:tc>
          <w:tcPr>
            <w:tcW w:w="1370" w:type="dxa"/>
            <w:noWrap w:val="0"/>
            <w:vAlign w:val="center"/>
          </w:tcPr>
          <w:p w14:paraId="5C9ECAEF">
            <w:pPr>
              <w:keepNext w:val="0"/>
              <w:keepLines w:val="0"/>
              <w:pageBreakBefore w:val="0"/>
              <w:widowControl w:val="0"/>
              <w:kinsoku/>
              <w:wordWrap/>
              <w:overflowPunct w:val="0"/>
              <w:topLinePunct/>
              <w:autoSpaceDE/>
              <w:autoSpaceDN/>
              <w:bidi w:val="0"/>
              <w:adjustRightInd w:val="0"/>
              <w:snapToGrid w:val="0"/>
              <w:spacing w:line="240" w:lineRule="auto"/>
              <w:jc w:val="both"/>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对企业实施强制性清洁生产审核情况进行</w:t>
            </w: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检查</w:t>
            </w:r>
          </w:p>
        </w:tc>
        <w:tc>
          <w:tcPr>
            <w:tcW w:w="898" w:type="dxa"/>
            <w:noWrap w:val="0"/>
            <w:vAlign w:val="center"/>
          </w:tcPr>
          <w:p w14:paraId="3E9395C2">
            <w:pPr>
              <w:keepNext w:val="0"/>
              <w:keepLines w:val="0"/>
              <w:pageBreakBefore w:val="0"/>
              <w:widowControl w:val="0"/>
              <w:kinsoku/>
              <w:wordWrap/>
              <w:autoSpaceDE/>
              <w:autoSpaceDN/>
              <w:bidi w:val="0"/>
              <w:adjustRightInd w:val="0"/>
              <w:snapToGrid w:val="0"/>
              <w:spacing w:line="240" w:lineRule="auto"/>
              <w:jc w:val="both"/>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现场检查、非现场检查相结合</w:t>
            </w:r>
          </w:p>
        </w:tc>
        <w:tc>
          <w:tcPr>
            <w:tcW w:w="1386" w:type="dxa"/>
            <w:noWrap w:val="0"/>
            <w:vAlign w:val="center"/>
          </w:tcPr>
          <w:p w14:paraId="0B244F01">
            <w:pPr>
              <w:keepNext w:val="0"/>
              <w:keepLines w:val="0"/>
              <w:pageBreakBefore w:val="0"/>
              <w:widowControl w:val="0"/>
              <w:kinsoku/>
              <w:wordWrap/>
              <w:overflowPunct w:val="0"/>
              <w:topLinePunct/>
              <w:autoSpaceDE/>
              <w:autoSpaceDN/>
              <w:bidi w:val="0"/>
              <w:adjustRightInd w:val="0"/>
              <w:snapToGrid w:val="0"/>
              <w:spacing w:line="240" w:lineRule="auto"/>
              <w:jc w:val="center"/>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按我厅每年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3月底前报经省司法厅备案审查的涉企年度行政检查计划执行</w:t>
            </w:r>
          </w:p>
        </w:tc>
        <w:tc>
          <w:tcPr>
            <w:tcW w:w="1406" w:type="dxa"/>
            <w:noWrap w:val="0"/>
            <w:vAlign w:val="center"/>
          </w:tcPr>
          <w:p w14:paraId="184C841E">
            <w:pPr>
              <w:keepNext w:val="0"/>
              <w:keepLines w:val="0"/>
              <w:pageBreakBefore w:val="0"/>
              <w:widowControl w:val="0"/>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vertAlign w:val="baseline"/>
                <w:lang w:eastAsia="zh-CN"/>
                <w14:textFill>
                  <w14:solidFill>
                    <w14:schemeClr w14:val="tx1"/>
                  </w14:solidFill>
                </w14:textFill>
              </w:rPr>
            </w:pPr>
            <w:r>
              <w:rPr>
                <w:rFonts w:hint="eastAsia" w:ascii="仿宋" w:hAnsi="仿宋" w:eastAsia="仿宋" w:cs="仿宋"/>
                <w:bCs/>
                <w:color w:val="000000" w:themeColor="text1"/>
                <w:kern w:val="2"/>
                <w:sz w:val="24"/>
                <w:szCs w:val="24"/>
                <w:highlight w:val="none"/>
                <w:lang w:val="en-US" w:eastAsia="zh-CN" w:bidi="ar-SA"/>
                <w14:textFill>
                  <w14:solidFill>
                    <w14:schemeClr w14:val="tx1"/>
                  </w14:solidFill>
                </w14:textFill>
              </w:rPr>
              <w:t>涉企行政检查以属地管辖为原则，有重大影响或者跨市级区域的，由省级生态环境部门负责。本系统各层级的检查对象名单，由省生态环境厅另行公布。</w:t>
            </w:r>
          </w:p>
        </w:tc>
      </w:tr>
      <w:tr w14:paraId="57851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15998" w:type="dxa"/>
            <w:gridSpan w:val="10"/>
            <w:noWrap w:val="0"/>
            <w:vAlign w:val="center"/>
          </w:tcPr>
          <w:p w14:paraId="763AB767">
            <w:pPr>
              <w:keepNext w:val="0"/>
              <w:keepLines w:val="0"/>
              <w:pageBreakBefore w:val="0"/>
              <w:widowControl w:val="0"/>
              <w:tabs>
                <w:tab w:val="center" w:pos="4153"/>
                <w:tab w:val="right" w:pos="8306"/>
              </w:tabs>
              <w:kinsoku/>
              <w:wordWrap/>
              <w:autoSpaceDE/>
              <w:autoSpaceDN/>
              <w:bidi w:val="0"/>
              <w:adjustRightInd w:val="0"/>
              <w:snapToGrid w:val="0"/>
              <w:spacing w:line="24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说明：</w:t>
            </w:r>
          </w:p>
          <w:p w14:paraId="33AD51C6">
            <w:pPr>
              <w:keepNext w:val="0"/>
              <w:keepLines w:val="0"/>
              <w:pageBreakBefore w:val="0"/>
              <w:widowControl w:val="0"/>
              <w:numPr>
                <w:ilvl w:val="0"/>
                <w:numId w:val="0"/>
              </w:numPr>
              <w:tabs>
                <w:tab w:val="center" w:pos="4153"/>
                <w:tab w:val="right" w:pos="8306"/>
              </w:tabs>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1.本清单根据有关法律法规规章立改废情况进行动态调整。</w:t>
            </w:r>
          </w:p>
          <w:p w14:paraId="07853090">
            <w:pPr>
              <w:keepNext w:val="0"/>
              <w:keepLines w:val="0"/>
              <w:pageBreakBefore w:val="0"/>
              <w:widowControl w:val="0"/>
              <w:numPr>
                <w:ilvl w:val="0"/>
                <w:numId w:val="0"/>
              </w:numPr>
              <w:tabs>
                <w:tab w:val="center" w:pos="4153"/>
                <w:tab w:val="right" w:pos="8306"/>
              </w:tabs>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2.严禁本系统省、市行政执法机关对同一检查对象多头、重复检查。</w:t>
            </w:r>
          </w:p>
          <w:p w14:paraId="5DEC6AA8">
            <w:pPr>
              <w:keepNext w:val="0"/>
              <w:keepLines w:val="0"/>
              <w:pageBreakBefore w:val="0"/>
              <w:widowControl w:val="0"/>
              <w:numPr>
                <w:ilvl w:val="0"/>
                <w:numId w:val="0"/>
              </w:numPr>
              <w:tabs>
                <w:tab w:val="center" w:pos="4153"/>
                <w:tab w:val="right" w:pos="8306"/>
              </w:tabs>
              <w:kinsoku/>
              <w:wordWrap/>
              <w:autoSpaceDE/>
              <w:autoSpaceDN/>
              <w:bidi w:val="0"/>
              <w:adjustRightInd w:val="0"/>
              <w:snapToGrid w:val="0"/>
              <w:spacing w:line="240" w:lineRule="auto"/>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对于未列入清单的涉企行政检查事项，一律不得实施；违规实施的，企业有权拒绝接受检查，并可以向本机关行政执法监督机构（联系电话：0731-85698110，电子邮箱：Hbtfaguichu2022@163.com）和省司法厅（同级司法行政部门；联系电话：0731-84588562，电子邮箱：zhifajianduchu111@163.com）举报。</w:t>
            </w:r>
          </w:p>
        </w:tc>
      </w:tr>
    </w:tbl>
    <w:p w14:paraId="7151EBBB">
      <w:pPr>
        <w:widowControl w:val="0"/>
        <w:numPr>
          <w:ilvl w:val="0"/>
          <w:numId w:val="0"/>
        </w:numPr>
        <w:tabs>
          <w:tab w:val="center" w:pos="4153"/>
          <w:tab w:val="right" w:pos="8306"/>
        </w:tabs>
        <w:snapToGrid w:val="0"/>
        <w:spacing w:line="330" w:lineRule="exact"/>
        <w:rPr>
          <w:rFonts w:hint="eastAsia" w:ascii="方正仿宋_GBK" w:hAnsi="方正仿宋_GBK" w:eastAsia="方正仿宋_GBK" w:cs="方正仿宋_GBK"/>
          <w:color w:val="000000" w:themeColor="text1"/>
          <w:sz w:val="24"/>
          <w:szCs w:val="24"/>
          <w:highlight w:val="none"/>
          <w:shd w:val="clear" w:color="auto" w:fill="FFFFFF"/>
          <w:lang w:val="en-US" w:eastAsia="zh-CN"/>
          <w14:textFill>
            <w14:solidFill>
              <w14:schemeClr w14:val="tx1"/>
            </w14:solidFill>
          </w14:textFill>
        </w:rPr>
      </w:pPr>
    </w:p>
    <w:p w14:paraId="709A8D61">
      <w:pPr>
        <w:keepNext w:val="0"/>
        <w:keepLines w:val="0"/>
        <w:pageBreakBefore w:val="0"/>
        <w:widowControl w:val="0"/>
        <w:numPr>
          <w:ilvl w:val="0"/>
          <w:numId w:val="0"/>
        </w:numPr>
        <w:tabs>
          <w:tab w:val="center" w:pos="4153"/>
          <w:tab w:val="right" w:pos="8306"/>
        </w:tabs>
        <w:kinsoku/>
        <w:wordWrap/>
        <w:overflowPunct/>
        <w:topLinePunct w:val="0"/>
        <w:autoSpaceDE/>
        <w:autoSpaceDN/>
        <w:bidi w:val="0"/>
        <w:adjustRightInd/>
        <w:snapToGrid w:val="0"/>
        <w:spacing w:line="600" w:lineRule="exact"/>
        <w:textAlignment w:val="baseline"/>
        <w:rPr>
          <w:rFonts w:hint="eastAsia" w:ascii="宋体" w:hAnsi="宋体" w:eastAsia="宋体" w:cs="宋体"/>
          <w:b/>
          <w:bCs/>
          <w:color w:val="000000" w:themeColor="text1"/>
          <w:sz w:val="44"/>
          <w:szCs w:val="44"/>
          <w:highlight w:val="none"/>
          <w:shd w:val="clear" w:color="auto" w:fill="FFFFFF"/>
          <w:lang w:val="en-US" w:eastAsia="zh-CN"/>
          <w14:textFill>
            <w14:solidFill>
              <w14:schemeClr w14:val="tx1"/>
            </w14:solidFill>
          </w14:textFill>
        </w:rPr>
      </w:pPr>
    </w:p>
    <w:sectPr>
      <w:footerReference r:id="rId3" w:type="default"/>
      <w:pgSz w:w="16834" w:h="11909" w:orient="landscape"/>
      <w:pgMar w:top="1803" w:right="1440" w:bottom="1803" w:left="1440"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2000000000000000000"/>
    <w:charset w:val="86"/>
    <w:family w:val="auto"/>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58E0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45E735">
                          <w:pPr>
                            <w:pStyle w:val="4"/>
                            <w:rPr>
                              <w:sz w:val="24"/>
                              <w:szCs w:val="24"/>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C45E735">
                    <w:pPr>
                      <w:pStyle w:val="4"/>
                      <w:rPr>
                        <w:sz w:val="24"/>
                        <w:szCs w:val="24"/>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A71C8F"/>
    <w:multiLevelType w:val="singleLevel"/>
    <w:tmpl w:val="E1A71C8F"/>
    <w:lvl w:ilvl="0" w:tentative="0">
      <w:start w:val="6"/>
      <w:numFmt w:val="decimal"/>
      <w:lvlText w:val="%1."/>
      <w:lvlJc w:val="left"/>
      <w:pPr>
        <w:tabs>
          <w:tab w:val="left" w:pos="312"/>
        </w:tabs>
      </w:pPr>
    </w:lvl>
  </w:abstractNum>
  <w:abstractNum w:abstractNumId="1">
    <w:nsid w:val="FADF4367"/>
    <w:multiLevelType w:val="singleLevel"/>
    <w:tmpl w:val="FADF4367"/>
    <w:lvl w:ilvl="0" w:tentative="0">
      <w:start w:val="1"/>
      <w:numFmt w:val="decimal"/>
      <w:lvlText w:val="%1."/>
      <w:lvlJc w:val="left"/>
      <w:pPr>
        <w:tabs>
          <w:tab w:val="left" w:pos="312"/>
        </w:tabs>
      </w:pPr>
    </w:lvl>
  </w:abstractNum>
  <w:abstractNum w:abstractNumId="2">
    <w:nsid w:val="FFF5B2B3"/>
    <w:multiLevelType w:val="singleLevel"/>
    <w:tmpl w:val="FFF5B2B3"/>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2MjE4MzI2MjM5M2YyN2RmZTg3MzUzYzMzMzljMTcifQ=="/>
    <w:docVar w:name="KSO_WPS_MARK_KEY" w:val="df63a08d-d346-4d4a-8697-e20298cf7f74"/>
  </w:docVars>
  <w:rsids>
    <w:rsidRoot w:val="D7FB87B6"/>
    <w:rsid w:val="00744E84"/>
    <w:rsid w:val="009C7021"/>
    <w:rsid w:val="00D24C84"/>
    <w:rsid w:val="013078D4"/>
    <w:rsid w:val="013E4AD1"/>
    <w:rsid w:val="01D86637"/>
    <w:rsid w:val="021178E3"/>
    <w:rsid w:val="0262292C"/>
    <w:rsid w:val="02B7624C"/>
    <w:rsid w:val="02ED7EC0"/>
    <w:rsid w:val="033A0C2B"/>
    <w:rsid w:val="05C22E36"/>
    <w:rsid w:val="064D5B42"/>
    <w:rsid w:val="0687062B"/>
    <w:rsid w:val="06936FD0"/>
    <w:rsid w:val="06E23AB3"/>
    <w:rsid w:val="071008CB"/>
    <w:rsid w:val="07F824A4"/>
    <w:rsid w:val="0874698D"/>
    <w:rsid w:val="08955281"/>
    <w:rsid w:val="08BC77D3"/>
    <w:rsid w:val="08D35DAA"/>
    <w:rsid w:val="09440A55"/>
    <w:rsid w:val="0A170C0C"/>
    <w:rsid w:val="0A27015B"/>
    <w:rsid w:val="0A883B6D"/>
    <w:rsid w:val="0AB319EF"/>
    <w:rsid w:val="0B5C3E34"/>
    <w:rsid w:val="0B5D1E24"/>
    <w:rsid w:val="0BEF300C"/>
    <w:rsid w:val="0C872DD2"/>
    <w:rsid w:val="0D137432"/>
    <w:rsid w:val="0DE53B54"/>
    <w:rsid w:val="0EDF580B"/>
    <w:rsid w:val="0FD541B5"/>
    <w:rsid w:val="1220072A"/>
    <w:rsid w:val="12CD73C6"/>
    <w:rsid w:val="143F062B"/>
    <w:rsid w:val="15056EBF"/>
    <w:rsid w:val="1635775C"/>
    <w:rsid w:val="17325029"/>
    <w:rsid w:val="17CF5275"/>
    <w:rsid w:val="17DB4333"/>
    <w:rsid w:val="17DE8129"/>
    <w:rsid w:val="17F20C4D"/>
    <w:rsid w:val="18331C91"/>
    <w:rsid w:val="18892CD0"/>
    <w:rsid w:val="18FA4C14"/>
    <w:rsid w:val="197131A1"/>
    <w:rsid w:val="198A6011"/>
    <w:rsid w:val="1A122C2B"/>
    <w:rsid w:val="1AE856E5"/>
    <w:rsid w:val="1AF6DA01"/>
    <w:rsid w:val="1B3A5C69"/>
    <w:rsid w:val="1B401D9C"/>
    <w:rsid w:val="1B4D5548"/>
    <w:rsid w:val="1BA22798"/>
    <w:rsid w:val="1BFC128C"/>
    <w:rsid w:val="1C281B11"/>
    <w:rsid w:val="1C4F3541"/>
    <w:rsid w:val="1C8054A9"/>
    <w:rsid w:val="1CA23671"/>
    <w:rsid w:val="1CD7325E"/>
    <w:rsid w:val="1CFFC965"/>
    <w:rsid w:val="1DEF28E6"/>
    <w:rsid w:val="1E273B77"/>
    <w:rsid w:val="1F262338"/>
    <w:rsid w:val="1F572402"/>
    <w:rsid w:val="1F72557D"/>
    <w:rsid w:val="1FD45EBA"/>
    <w:rsid w:val="200B7C44"/>
    <w:rsid w:val="208C7505"/>
    <w:rsid w:val="208E72F4"/>
    <w:rsid w:val="20EE3329"/>
    <w:rsid w:val="21472A39"/>
    <w:rsid w:val="22EE7610"/>
    <w:rsid w:val="23C242A0"/>
    <w:rsid w:val="2409047A"/>
    <w:rsid w:val="24521E21"/>
    <w:rsid w:val="24A00C57"/>
    <w:rsid w:val="24A0493A"/>
    <w:rsid w:val="24C660A9"/>
    <w:rsid w:val="253F4153"/>
    <w:rsid w:val="263A59A6"/>
    <w:rsid w:val="26D7756B"/>
    <w:rsid w:val="279D4F06"/>
    <w:rsid w:val="28042401"/>
    <w:rsid w:val="283917B1"/>
    <w:rsid w:val="28CE1BFE"/>
    <w:rsid w:val="295E3016"/>
    <w:rsid w:val="2AE80DE9"/>
    <w:rsid w:val="2B54647E"/>
    <w:rsid w:val="2B6F73AF"/>
    <w:rsid w:val="2BD15D21"/>
    <w:rsid w:val="2BECCFE5"/>
    <w:rsid w:val="2CAB0320"/>
    <w:rsid w:val="2CD31625"/>
    <w:rsid w:val="2CFC1F4F"/>
    <w:rsid w:val="2CFE2B46"/>
    <w:rsid w:val="2D1D7A9D"/>
    <w:rsid w:val="2DAE631A"/>
    <w:rsid w:val="2DAFB192"/>
    <w:rsid w:val="2DF30354"/>
    <w:rsid w:val="2DF950BB"/>
    <w:rsid w:val="2EBBD70D"/>
    <w:rsid w:val="2EE10029"/>
    <w:rsid w:val="2EFDB488"/>
    <w:rsid w:val="2FCBC003"/>
    <w:rsid w:val="2FDA10EF"/>
    <w:rsid w:val="2FEF9786"/>
    <w:rsid w:val="2FF95A97"/>
    <w:rsid w:val="30135AB6"/>
    <w:rsid w:val="302757D8"/>
    <w:rsid w:val="3071362F"/>
    <w:rsid w:val="307C7F98"/>
    <w:rsid w:val="309F1F4A"/>
    <w:rsid w:val="31C0661C"/>
    <w:rsid w:val="31F43B9D"/>
    <w:rsid w:val="325A1E78"/>
    <w:rsid w:val="32892EB1"/>
    <w:rsid w:val="346702DF"/>
    <w:rsid w:val="34871673"/>
    <w:rsid w:val="3541CB68"/>
    <w:rsid w:val="357F67EE"/>
    <w:rsid w:val="35814D3A"/>
    <w:rsid w:val="359EE00A"/>
    <w:rsid w:val="35DFBAE3"/>
    <w:rsid w:val="361231BE"/>
    <w:rsid w:val="36C7CCAF"/>
    <w:rsid w:val="371B4CAC"/>
    <w:rsid w:val="377A726D"/>
    <w:rsid w:val="37DDB126"/>
    <w:rsid w:val="37F33FA3"/>
    <w:rsid w:val="3821593A"/>
    <w:rsid w:val="3830233C"/>
    <w:rsid w:val="386A52B1"/>
    <w:rsid w:val="388031C9"/>
    <w:rsid w:val="38D8A29D"/>
    <w:rsid w:val="39F722F7"/>
    <w:rsid w:val="3A5405D4"/>
    <w:rsid w:val="3A546726"/>
    <w:rsid w:val="3A7BE63F"/>
    <w:rsid w:val="3AD2ECE3"/>
    <w:rsid w:val="3B53405D"/>
    <w:rsid w:val="3BC963CC"/>
    <w:rsid w:val="3D121CF5"/>
    <w:rsid w:val="3D3A1978"/>
    <w:rsid w:val="3D3CB8E5"/>
    <w:rsid w:val="3EBA7944"/>
    <w:rsid w:val="3EBE85F9"/>
    <w:rsid w:val="3EC534C3"/>
    <w:rsid w:val="3ED41958"/>
    <w:rsid w:val="3EE7B831"/>
    <w:rsid w:val="3EF80DD0"/>
    <w:rsid w:val="3F5EE751"/>
    <w:rsid w:val="3F762A0F"/>
    <w:rsid w:val="3F9BE318"/>
    <w:rsid w:val="3FABB395"/>
    <w:rsid w:val="3FAD720A"/>
    <w:rsid w:val="3FDBCC7A"/>
    <w:rsid w:val="400D43C9"/>
    <w:rsid w:val="40896D0A"/>
    <w:rsid w:val="40DE4A17"/>
    <w:rsid w:val="4182569C"/>
    <w:rsid w:val="41AA69A0"/>
    <w:rsid w:val="41FF49CF"/>
    <w:rsid w:val="424E37D0"/>
    <w:rsid w:val="42F03815"/>
    <w:rsid w:val="430257C7"/>
    <w:rsid w:val="43056584"/>
    <w:rsid w:val="437B6009"/>
    <w:rsid w:val="43AA2C88"/>
    <w:rsid w:val="442320B6"/>
    <w:rsid w:val="44627A06"/>
    <w:rsid w:val="44913E48"/>
    <w:rsid w:val="44DC50C3"/>
    <w:rsid w:val="45392A63"/>
    <w:rsid w:val="45D4223E"/>
    <w:rsid w:val="47B91374"/>
    <w:rsid w:val="47C12537"/>
    <w:rsid w:val="47F3E157"/>
    <w:rsid w:val="47F70D64"/>
    <w:rsid w:val="48B849C0"/>
    <w:rsid w:val="490F5704"/>
    <w:rsid w:val="49815FDD"/>
    <w:rsid w:val="4A3C5DF5"/>
    <w:rsid w:val="4A6F0787"/>
    <w:rsid w:val="4B2772B4"/>
    <w:rsid w:val="4B3A6FE7"/>
    <w:rsid w:val="4BFBC300"/>
    <w:rsid w:val="4C0F5D7E"/>
    <w:rsid w:val="4C4E4D50"/>
    <w:rsid w:val="4C83051A"/>
    <w:rsid w:val="4D1F2772"/>
    <w:rsid w:val="4DDFA0F7"/>
    <w:rsid w:val="4ED82D9F"/>
    <w:rsid w:val="4F583EE0"/>
    <w:rsid w:val="4F806F93"/>
    <w:rsid w:val="4F9FF528"/>
    <w:rsid w:val="50EC0779"/>
    <w:rsid w:val="512704E7"/>
    <w:rsid w:val="51340035"/>
    <w:rsid w:val="51F26321"/>
    <w:rsid w:val="532C2DD7"/>
    <w:rsid w:val="533575BC"/>
    <w:rsid w:val="5336A6D7"/>
    <w:rsid w:val="538F3C48"/>
    <w:rsid w:val="54234451"/>
    <w:rsid w:val="5462436F"/>
    <w:rsid w:val="55820BAD"/>
    <w:rsid w:val="55D47ADF"/>
    <w:rsid w:val="564D66AA"/>
    <w:rsid w:val="56723AD9"/>
    <w:rsid w:val="56AA7DBD"/>
    <w:rsid w:val="56BE6D1E"/>
    <w:rsid w:val="56D53F78"/>
    <w:rsid w:val="57045E05"/>
    <w:rsid w:val="57334259"/>
    <w:rsid w:val="573B6503"/>
    <w:rsid w:val="57430FD1"/>
    <w:rsid w:val="57B44DFF"/>
    <w:rsid w:val="57F624E8"/>
    <w:rsid w:val="57FE81F8"/>
    <w:rsid w:val="58207565"/>
    <w:rsid w:val="58B79979"/>
    <w:rsid w:val="58C425E6"/>
    <w:rsid w:val="593F4A2D"/>
    <w:rsid w:val="5955323E"/>
    <w:rsid w:val="59CB1173"/>
    <w:rsid w:val="59F96F11"/>
    <w:rsid w:val="5ABDA5E8"/>
    <w:rsid w:val="5B7BBAD3"/>
    <w:rsid w:val="5BBAC365"/>
    <w:rsid w:val="5BE523F7"/>
    <w:rsid w:val="5BFF4705"/>
    <w:rsid w:val="5BFF6869"/>
    <w:rsid w:val="5CC81BAF"/>
    <w:rsid w:val="5CFB0BCE"/>
    <w:rsid w:val="5CFF194F"/>
    <w:rsid w:val="5D267DAB"/>
    <w:rsid w:val="5E072442"/>
    <w:rsid w:val="5E287173"/>
    <w:rsid w:val="5E9F383E"/>
    <w:rsid w:val="5EB2F4CC"/>
    <w:rsid w:val="5EFEF94D"/>
    <w:rsid w:val="5F27742B"/>
    <w:rsid w:val="5F77E87C"/>
    <w:rsid w:val="5FBB3EC2"/>
    <w:rsid w:val="5FBFF1E6"/>
    <w:rsid w:val="5FEBE819"/>
    <w:rsid w:val="5FF26E57"/>
    <w:rsid w:val="5FF5ADE3"/>
    <w:rsid w:val="5FFCEA6F"/>
    <w:rsid w:val="60107D6C"/>
    <w:rsid w:val="603F010C"/>
    <w:rsid w:val="60C8737A"/>
    <w:rsid w:val="612F6807"/>
    <w:rsid w:val="64393E88"/>
    <w:rsid w:val="64432611"/>
    <w:rsid w:val="64B234DE"/>
    <w:rsid w:val="65420B1A"/>
    <w:rsid w:val="654E1EE5"/>
    <w:rsid w:val="65EDBAA4"/>
    <w:rsid w:val="662875FC"/>
    <w:rsid w:val="664A1A2C"/>
    <w:rsid w:val="66B01F6A"/>
    <w:rsid w:val="674D37A6"/>
    <w:rsid w:val="67A01E99"/>
    <w:rsid w:val="67ED69EC"/>
    <w:rsid w:val="67EEF67F"/>
    <w:rsid w:val="6967283B"/>
    <w:rsid w:val="696848C8"/>
    <w:rsid w:val="6A295995"/>
    <w:rsid w:val="6B741C4A"/>
    <w:rsid w:val="6B745C8F"/>
    <w:rsid w:val="6BACE21A"/>
    <w:rsid w:val="6BB54225"/>
    <w:rsid w:val="6BDF3FD8"/>
    <w:rsid w:val="6C3B104D"/>
    <w:rsid w:val="6C3B4B9F"/>
    <w:rsid w:val="6C5775A1"/>
    <w:rsid w:val="6CC54BBE"/>
    <w:rsid w:val="6D0A5298"/>
    <w:rsid w:val="6D3F2693"/>
    <w:rsid w:val="6D69232C"/>
    <w:rsid w:val="6DB56E82"/>
    <w:rsid w:val="6DFA6BF8"/>
    <w:rsid w:val="6DFB5FF3"/>
    <w:rsid w:val="6E315BD0"/>
    <w:rsid w:val="6E804989"/>
    <w:rsid w:val="6FBACFE8"/>
    <w:rsid w:val="6FBDBDFF"/>
    <w:rsid w:val="6FE960B8"/>
    <w:rsid w:val="6FF1FFDC"/>
    <w:rsid w:val="6FFBCC0A"/>
    <w:rsid w:val="70193B73"/>
    <w:rsid w:val="707350BA"/>
    <w:rsid w:val="71BF4E24"/>
    <w:rsid w:val="71ED0060"/>
    <w:rsid w:val="71F72C8D"/>
    <w:rsid w:val="725D6F93"/>
    <w:rsid w:val="7272DD7D"/>
    <w:rsid w:val="737D76DA"/>
    <w:rsid w:val="73BF74EB"/>
    <w:rsid w:val="73E07E7C"/>
    <w:rsid w:val="73FB1021"/>
    <w:rsid w:val="74081181"/>
    <w:rsid w:val="745254FC"/>
    <w:rsid w:val="74F160B9"/>
    <w:rsid w:val="751625FE"/>
    <w:rsid w:val="75CD61DE"/>
    <w:rsid w:val="75EA26BB"/>
    <w:rsid w:val="76876993"/>
    <w:rsid w:val="76C3673C"/>
    <w:rsid w:val="76E922A4"/>
    <w:rsid w:val="76EEBF22"/>
    <w:rsid w:val="7711659E"/>
    <w:rsid w:val="772702D9"/>
    <w:rsid w:val="772B977D"/>
    <w:rsid w:val="7731279D"/>
    <w:rsid w:val="77778B55"/>
    <w:rsid w:val="77844FC2"/>
    <w:rsid w:val="77AD48D0"/>
    <w:rsid w:val="77B37656"/>
    <w:rsid w:val="77B9BE8C"/>
    <w:rsid w:val="77DE19F9"/>
    <w:rsid w:val="77DF8D0D"/>
    <w:rsid w:val="77E617D9"/>
    <w:rsid w:val="77EB7CEF"/>
    <w:rsid w:val="781225CE"/>
    <w:rsid w:val="78DF17A2"/>
    <w:rsid w:val="78E82BFA"/>
    <w:rsid w:val="7922469C"/>
    <w:rsid w:val="7977461B"/>
    <w:rsid w:val="79782D4F"/>
    <w:rsid w:val="79970D77"/>
    <w:rsid w:val="79D53D96"/>
    <w:rsid w:val="79EF4322"/>
    <w:rsid w:val="7A322863"/>
    <w:rsid w:val="7AE722FB"/>
    <w:rsid w:val="7AEF742A"/>
    <w:rsid w:val="7B795B58"/>
    <w:rsid w:val="7B7E0AC2"/>
    <w:rsid w:val="7B7F7A61"/>
    <w:rsid w:val="7B9D5774"/>
    <w:rsid w:val="7B9F65EF"/>
    <w:rsid w:val="7BBBE3CB"/>
    <w:rsid w:val="7BCE79B7"/>
    <w:rsid w:val="7BCEA6FC"/>
    <w:rsid w:val="7BD61BD7"/>
    <w:rsid w:val="7BED941C"/>
    <w:rsid w:val="7BF215E9"/>
    <w:rsid w:val="7BFBA205"/>
    <w:rsid w:val="7C240B22"/>
    <w:rsid w:val="7C58FA8E"/>
    <w:rsid w:val="7D39527B"/>
    <w:rsid w:val="7D451D9F"/>
    <w:rsid w:val="7D7F5C9F"/>
    <w:rsid w:val="7DAB2F3C"/>
    <w:rsid w:val="7DAF4E64"/>
    <w:rsid w:val="7DBFBE96"/>
    <w:rsid w:val="7DE71E07"/>
    <w:rsid w:val="7DEE437A"/>
    <w:rsid w:val="7DFB5663"/>
    <w:rsid w:val="7DFFD65B"/>
    <w:rsid w:val="7E5D3781"/>
    <w:rsid w:val="7EB638B8"/>
    <w:rsid w:val="7EB7D837"/>
    <w:rsid w:val="7EEBF957"/>
    <w:rsid w:val="7EF705B8"/>
    <w:rsid w:val="7EFF55A5"/>
    <w:rsid w:val="7F1C592A"/>
    <w:rsid w:val="7F3925E5"/>
    <w:rsid w:val="7F4B7419"/>
    <w:rsid w:val="7F5E6F27"/>
    <w:rsid w:val="7F5F0F40"/>
    <w:rsid w:val="7F606315"/>
    <w:rsid w:val="7F6FBC77"/>
    <w:rsid w:val="7F77BA72"/>
    <w:rsid w:val="7F7D4786"/>
    <w:rsid w:val="7F8B3294"/>
    <w:rsid w:val="7F9AC3E0"/>
    <w:rsid w:val="7FDBB3A1"/>
    <w:rsid w:val="7FEF9C25"/>
    <w:rsid w:val="7FF1B8D0"/>
    <w:rsid w:val="7FF573B4"/>
    <w:rsid w:val="7FFA0A21"/>
    <w:rsid w:val="7FFA771A"/>
    <w:rsid w:val="7FFBE844"/>
    <w:rsid w:val="7FFE9F61"/>
    <w:rsid w:val="7FFF3F0E"/>
    <w:rsid w:val="7FFFFD9F"/>
    <w:rsid w:val="8257BC9E"/>
    <w:rsid w:val="873DC599"/>
    <w:rsid w:val="89DBAEAA"/>
    <w:rsid w:val="8BBB928D"/>
    <w:rsid w:val="8DF96D12"/>
    <w:rsid w:val="9D3D56B6"/>
    <w:rsid w:val="9D7F5001"/>
    <w:rsid w:val="9EBF7CBE"/>
    <w:rsid w:val="9ED727B6"/>
    <w:rsid w:val="9F8FF19C"/>
    <w:rsid w:val="9FDE4320"/>
    <w:rsid w:val="A57D623D"/>
    <w:rsid w:val="A6F76C62"/>
    <w:rsid w:val="AA3F11A6"/>
    <w:rsid w:val="AABE3B66"/>
    <w:rsid w:val="ABF8D8AE"/>
    <w:rsid w:val="AD390538"/>
    <w:rsid w:val="AE793A6C"/>
    <w:rsid w:val="AF9C876B"/>
    <w:rsid w:val="AFFBB701"/>
    <w:rsid w:val="B3DB375B"/>
    <w:rsid w:val="B66F036E"/>
    <w:rsid w:val="B6BF05F4"/>
    <w:rsid w:val="BABE3C31"/>
    <w:rsid w:val="BADBA595"/>
    <w:rsid w:val="BBF55A1D"/>
    <w:rsid w:val="BCD42FE0"/>
    <w:rsid w:val="BDFCE12A"/>
    <w:rsid w:val="BE4FF0A2"/>
    <w:rsid w:val="BE7BE60B"/>
    <w:rsid w:val="BEDD51F4"/>
    <w:rsid w:val="BEFF90E2"/>
    <w:rsid w:val="BFAE37F4"/>
    <w:rsid w:val="BFBFF5E2"/>
    <w:rsid w:val="BFD5A4B1"/>
    <w:rsid w:val="BFF98DA7"/>
    <w:rsid w:val="BFFD3BF5"/>
    <w:rsid w:val="C35F7942"/>
    <w:rsid w:val="C5DFEA75"/>
    <w:rsid w:val="C9FFC23D"/>
    <w:rsid w:val="CCAC30CE"/>
    <w:rsid w:val="CEEFD67E"/>
    <w:rsid w:val="CFEB2DEA"/>
    <w:rsid w:val="D027123A"/>
    <w:rsid w:val="D3DAFCBA"/>
    <w:rsid w:val="D7CBD349"/>
    <w:rsid w:val="D7DDB229"/>
    <w:rsid w:val="D7F1FE30"/>
    <w:rsid w:val="D7FB87B6"/>
    <w:rsid w:val="D8DD9AF2"/>
    <w:rsid w:val="D97533A1"/>
    <w:rsid w:val="D97DA692"/>
    <w:rsid w:val="DAB4074A"/>
    <w:rsid w:val="DAC3F0BF"/>
    <w:rsid w:val="DAFFD443"/>
    <w:rsid w:val="DBBE4EFA"/>
    <w:rsid w:val="DBFB6C70"/>
    <w:rsid w:val="DE8BBA5F"/>
    <w:rsid w:val="DEF3898F"/>
    <w:rsid w:val="DEFE2231"/>
    <w:rsid w:val="DFE66715"/>
    <w:rsid w:val="DFEF7178"/>
    <w:rsid w:val="DFF6E559"/>
    <w:rsid w:val="DFFD6694"/>
    <w:rsid w:val="DFFED934"/>
    <w:rsid w:val="DFFFEACA"/>
    <w:rsid w:val="E2EBD9C8"/>
    <w:rsid w:val="E70458BA"/>
    <w:rsid w:val="E73567A3"/>
    <w:rsid w:val="E75F3D02"/>
    <w:rsid w:val="E7675AD4"/>
    <w:rsid w:val="E77F7663"/>
    <w:rsid w:val="EBEDB165"/>
    <w:rsid w:val="EC7B9CC3"/>
    <w:rsid w:val="ECBFC14B"/>
    <w:rsid w:val="ED3B651D"/>
    <w:rsid w:val="ED651A30"/>
    <w:rsid w:val="EDBFCE11"/>
    <w:rsid w:val="EEEF45B2"/>
    <w:rsid w:val="EEFF5F06"/>
    <w:rsid w:val="EEFFEBC9"/>
    <w:rsid w:val="EF7D56AA"/>
    <w:rsid w:val="EFDE7A36"/>
    <w:rsid w:val="EFEFADEE"/>
    <w:rsid w:val="EFF12C67"/>
    <w:rsid w:val="EFF7B493"/>
    <w:rsid w:val="EFFEB42D"/>
    <w:rsid w:val="EFFECF41"/>
    <w:rsid w:val="EFFFD5A1"/>
    <w:rsid w:val="F2F922E6"/>
    <w:rsid w:val="F336EFD0"/>
    <w:rsid w:val="F3FFE366"/>
    <w:rsid w:val="F41FB0B2"/>
    <w:rsid w:val="F525B3A8"/>
    <w:rsid w:val="F568BA10"/>
    <w:rsid w:val="F57F099A"/>
    <w:rsid w:val="F5BF0818"/>
    <w:rsid w:val="F5FB4B25"/>
    <w:rsid w:val="F5FC7ADE"/>
    <w:rsid w:val="F67FD6BA"/>
    <w:rsid w:val="F7751199"/>
    <w:rsid w:val="F7979DA0"/>
    <w:rsid w:val="F79D317E"/>
    <w:rsid w:val="F7BEE074"/>
    <w:rsid w:val="F7EDDAE7"/>
    <w:rsid w:val="F7F962A3"/>
    <w:rsid w:val="F7FF8411"/>
    <w:rsid w:val="F8A48887"/>
    <w:rsid w:val="F8B532EC"/>
    <w:rsid w:val="F8F27C2E"/>
    <w:rsid w:val="F979BDF7"/>
    <w:rsid w:val="FABDAF59"/>
    <w:rsid w:val="FAEF05F2"/>
    <w:rsid w:val="FAFC25E6"/>
    <w:rsid w:val="FB5B5A71"/>
    <w:rsid w:val="FB7A60EC"/>
    <w:rsid w:val="FBB7A50B"/>
    <w:rsid w:val="FBFBEE21"/>
    <w:rsid w:val="FBFD44E0"/>
    <w:rsid w:val="FBFEFC7E"/>
    <w:rsid w:val="FBFF9C87"/>
    <w:rsid w:val="FCBDBA2D"/>
    <w:rsid w:val="FCEF70C6"/>
    <w:rsid w:val="FCFA6316"/>
    <w:rsid w:val="FDFBAC79"/>
    <w:rsid w:val="FDFE0828"/>
    <w:rsid w:val="FE7710FE"/>
    <w:rsid w:val="FEBCF3FF"/>
    <w:rsid w:val="FEBD6BBB"/>
    <w:rsid w:val="FEF130DE"/>
    <w:rsid w:val="FEFB4FF6"/>
    <w:rsid w:val="FEFBDC40"/>
    <w:rsid w:val="FEFBE82C"/>
    <w:rsid w:val="FEFD8401"/>
    <w:rsid w:val="FEFF0422"/>
    <w:rsid w:val="FF137DBD"/>
    <w:rsid w:val="FF259DE8"/>
    <w:rsid w:val="FF4BF764"/>
    <w:rsid w:val="FF6D9193"/>
    <w:rsid w:val="FF75DCC6"/>
    <w:rsid w:val="FF79AEC2"/>
    <w:rsid w:val="FF7F9722"/>
    <w:rsid w:val="FF919E9B"/>
    <w:rsid w:val="FFB6D138"/>
    <w:rsid w:val="FFB90B2C"/>
    <w:rsid w:val="FFBC22EB"/>
    <w:rsid w:val="FFCF9FCB"/>
    <w:rsid w:val="FFDD784E"/>
    <w:rsid w:val="FFDFDFFC"/>
    <w:rsid w:val="FFEF4721"/>
    <w:rsid w:val="FFF62A50"/>
    <w:rsid w:val="FFF656FF"/>
    <w:rsid w:val="FFF7B8C0"/>
    <w:rsid w:val="FFFE035C"/>
    <w:rsid w:val="FFFE58B4"/>
    <w:rsid w:val="FFFE7E86"/>
    <w:rsid w:val="FFFF21AC"/>
    <w:rsid w:val="FFFFE6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jc w:val="both"/>
      <w:textAlignment w:val="baseline"/>
    </w:pPr>
    <w:rPr>
      <w:rFonts w:ascii="Times New Roman" w:hAnsi="Times New Roman" w:eastAsia="宋体" w:cs="Times New Roman"/>
      <w:kern w:val="2"/>
      <w:sz w:val="21"/>
      <w:szCs w:val="22"/>
      <w:lang w:val="en-US" w:eastAsia="zh-CN" w:bidi="ar-SA"/>
    </w:rPr>
  </w:style>
  <w:style w:type="paragraph" w:styleId="3">
    <w:name w:val="Body Text Indent 2"/>
    <w:basedOn w:val="1"/>
    <w:next w:val="1"/>
    <w:qFormat/>
    <w:uiPriority w:val="0"/>
    <w:pPr>
      <w:spacing w:after="120" w:line="480" w:lineRule="auto"/>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01"/>
    <w:basedOn w:val="9"/>
    <w:qFormat/>
    <w:uiPriority w:val="0"/>
    <w:rPr>
      <w:rFonts w:hint="eastAsia" w:ascii="方正仿宋_GBK" w:hAnsi="方正仿宋_GBK" w:eastAsia="方正仿宋_GBK" w:cs="方正仿宋_GBK"/>
      <w:color w:val="000000"/>
      <w:sz w:val="24"/>
      <w:szCs w:val="24"/>
      <w:u w:val="none"/>
    </w:rPr>
  </w:style>
  <w:style w:type="character" w:customStyle="1" w:styleId="11">
    <w:name w:val="font11"/>
    <w:basedOn w:val="9"/>
    <w:qFormat/>
    <w:uiPriority w:val="0"/>
    <w:rPr>
      <w:rFonts w:hint="default" w:ascii="仿宋_GB2312" w:eastAsia="仿宋_GB2312" w:cs="仿宋_GB2312"/>
      <w:b/>
      <w:bCs/>
      <w:color w:val="000000"/>
      <w:sz w:val="32"/>
      <w:szCs w:val="32"/>
      <w:u w:val="none"/>
    </w:rPr>
  </w:style>
  <w:style w:type="character" w:customStyle="1" w:styleId="12">
    <w:name w:val="font21"/>
    <w:basedOn w:val="9"/>
    <w:qFormat/>
    <w:uiPriority w:val="0"/>
    <w:rPr>
      <w:rFonts w:ascii="仿宋" w:hAnsi="仿宋" w:eastAsia="仿宋" w:cs="仿宋"/>
      <w:b/>
      <w:bCs/>
      <w:color w:val="000000"/>
      <w:sz w:val="24"/>
      <w:szCs w:val="24"/>
      <w:u w:val="none"/>
    </w:rPr>
  </w:style>
  <w:style w:type="character" w:customStyle="1" w:styleId="13">
    <w:name w:val="font31"/>
    <w:basedOn w:val="9"/>
    <w:qFormat/>
    <w:uiPriority w:val="0"/>
    <w:rPr>
      <w:rFonts w:hint="default" w:ascii="Arial" w:hAnsi="Arial" w:cs="Arial"/>
      <w:b/>
      <w:bCs/>
      <w:color w:val="00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19467</Words>
  <Characters>19789</Characters>
  <Lines>0</Lines>
  <Paragraphs>0</Paragraphs>
  <TotalTime>1</TotalTime>
  <ScaleCrop>false</ScaleCrop>
  <LinksUpToDate>false</LinksUpToDate>
  <CharactersWithSpaces>19869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2025-01-04T02:45:00Z</dcterms:created>
  <dc:creator>法律顾问</dc:creator>
  <cp:lastModifiedBy>法律顾问</cp:lastModifiedBy>
  <cp:lastPrinted>2025-02-28T15:53:00Z</cp:lastPrinted>
  <dcterms:modified xsi:type="dcterms:W3CDTF">2025-04-08T02:15:48Z</dcterms:modified>
  <dc:title>生态环境涉企行政检查事项清单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9FCC94E9F61D43CDA579F31AA1E67866_13</vt:lpwstr>
  </property>
  <property fmtid="{D5CDD505-2E9C-101B-9397-08002B2CF9AE}" pid="4" name="KSOTemplateDocerSaveRecord">
    <vt:lpwstr>eyJoZGlkIjoiNzYyZDI5NzA5YjU3YWYyZjQzNzljNWMwZTBlYjE2NzciLCJ1c2VySWQiOiIzMzc0MzYxNDYifQ==</vt:lpwstr>
  </property>
</Properties>
</file>